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152"/>
        <w:tblW w:w="11052" w:type="dxa"/>
        <w:tblBorders>
          <w:top w:val="thickThinLargeGap" w:sz="24" w:space="0" w:color="808080"/>
          <w:left w:val="thickThinLargeGap" w:sz="24" w:space="0" w:color="808080"/>
          <w:bottom w:val="thickThinLargeGap" w:sz="24" w:space="0" w:color="808080"/>
          <w:right w:val="thickThinLargeGap" w:sz="24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3827"/>
        <w:gridCol w:w="27"/>
        <w:gridCol w:w="2132"/>
        <w:gridCol w:w="27"/>
        <w:gridCol w:w="3626"/>
      </w:tblGrid>
      <w:tr w:rsidR="00BD19A2" w:rsidRPr="003F388E" w14:paraId="002E6815" w14:textId="77777777" w:rsidTr="00542ED1">
        <w:tc>
          <w:tcPr>
            <w:tcW w:w="1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068F" w14:textId="77777777" w:rsidR="00BD19A2" w:rsidRPr="003F388E" w:rsidRDefault="00BD19A2" w:rsidP="00611CE7">
            <w:pPr>
              <w:keepNext/>
              <w:keepLines/>
              <w:spacing w:before="80" w:after="80"/>
              <w:jc w:val="center"/>
              <w:rPr>
                <w:sz w:val="28"/>
                <w:szCs w:val="28"/>
              </w:rPr>
            </w:pPr>
            <w:r w:rsidRPr="003F388E">
              <w:rPr>
                <w:b/>
                <w:sz w:val="28"/>
                <w:szCs w:val="28"/>
              </w:rPr>
              <w:t>GWHA: ROLE PROFILE</w:t>
            </w:r>
          </w:p>
        </w:tc>
      </w:tr>
      <w:tr w:rsidR="00BD19A2" w:rsidRPr="003F388E" w14:paraId="58500DA3" w14:textId="77777777" w:rsidTr="00542E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5B8FB9" w14:textId="77777777" w:rsidR="00BD19A2" w:rsidRPr="003F388E" w:rsidRDefault="00BD19A2" w:rsidP="00611CE7">
            <w:pPr>
              <w:keepNext/>
              <w:keepLines/>
              <w:spacing w:before="80" w:after="80"/>
              <w:rPr>
                <w:b/>
              </w:rPr>
            </w:pPr>
            <w:r w:rsidRPr="003F388E">
              <w:rPr>
                <w:b/>
              </w:rPr>
              <w:t>JOB TITLE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A5787C" w14:textId="2359D893" w:rsidR="00BD19A2" w:rsidRPr="003F388E" w:rsidRDefault="00FD011B" w:rsidP="008447AE">
            <w:pPr>
              <w:keepNext/>
              <w:keepLines/>
              <w:spacing w:before="80" w:after="80"/>
            </w:pPr>
            <w:r>
              <w:t>Quality Assurance Manager</w:t>
            </w:r>
            <w:r w:rsidR="008447AE">
              <w:t xml:space="preserve">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11CE" w14:textId="77777777" w:rsidR="00BD19A2" w:rsidRPr="003F388E" w:rsidRDefault="00BD19A2" w:rsidP="00611CE7">
            <w:pPr>
              <w:keepNext/>
              <w:keepLines/>
              <w:spacing w:before="80" w:after="80"/>
              <w:rPr>
                <w:b/>
                <w:color w:val="FFFFFF"/>
              </w:rPr>
            </w:pPr>
            <w:r w:rsidRPr="003F388E">
              <w:rPr>
                <w:b/>
              </w:rPr>
              <w:t>GRADE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F94E" w14:textId="1DB78835" w:rsidR="00BD19A2" w:rsidRPr="003F388E" w:rsidRDefault="00611CE7" w:rsidP="00F26CD5">
            <w:pPr>
              <w:keepNext/>
              <w:keepLines/>
              <w:spacing w:before="80" w:after="80"/>
            </w:pPr>
            <w:r w:rsidRPr="00611CE7">
              <w:t xml:space="preserve">EVH Grade </w:t>
            </w:r>
            <w:r w:rsidR="00F26CD5">
              <w:t>8</w:t>
            </w:r>
          </w:p>
        </w:tc>
      </w:tr>
      <w:tr w:rsidR="00BD19A2" w:rsidRPr="003F388E" w14:paraId="517EAE9B" w14:textId="77777777" w:rsidTr="00542ED1">
        <w:trPr>
          <w:trHeight w:val="4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27FA10" w14:textId="77777777" w:rsidR="00BD19A2" w:rsidRPr="003F388E" w:rsidRDefault="00BD19A2" w:rsidP="00611CE7">
            <w:pPr>
              <w:keepNext/>
              <w:keepLines/>
              <w:spacing w:before="80" w:after="80"/>
              <w:rPr>
                <w:b/>
              </w:rPr>
            </w:pPr>
            <w:r w:rsidRPr="003F388E">
              <w:rPr>
                <w:b/>
              </w:rPr>
              <w:t>REPORT TO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B0F51B" w14:textId="24F11400" w:rsidR="00BD19A2" w:rsidRPr="003F388E" w:rsidRDefault="008447AE" w:rsidP="002E6B22">
            <w:pPr>
              <w:keepNext/>
              <w:keepLines/>
              <w:spacing w:before="80" w:after="80"/>
            </w:pPr>
            <w:r>
              <w:t xml:space="preserve"> </w:t>
            </w:r>
            <w:r w:rsidR="002E6B22">
              <w:t>Corporate Director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D69C" w14:textId="77777777" w:rsidR="00BD19A2" w:rsidRPr="003F388E" w:rsidRDefault="00BD19A2" w:rsidP="00611CE7">
            <w:pPr>
              <w:keepNext/>
              <w:keepLines/>
              <w:spacing w:before="80" w:after="80"/>
              <w:rPr>
                <w:b/>
              </w:rPr>
            </w:pPr>
            <w:r w:rsidRPr="003F388E">
              <w:rPr>
                <w:b/>
              </w:rPr>
              <w:t>DATE COMPLETED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1BA8" w14:textId="0C7C6775" w:rsidR="00BD19A2" w:rsidRPr="003F388E" w:rsidRDefault="003B1398" w:rsidP="00F26CD5">
            <w:pPr>
              <w:keepNext/>
              <w:keepLines/>
              <w:spacing w:before="80" w:after="80"/>
            </w:pPr>
            <w:r>
              <w:t>December 2024</w:t>
            </w:r>
            <w:r w:rsidR="008447AE">
              <w:t xml:space="preserve"> </w:t>
            </w:r>
          </w:p>
        </w:tc>
      </w:tr>
      <w:tr w:rsidR="00BD19A2" w:rsidRPr="003F388E" w14:paraId="7F5676B4" w14:textId="77777777" w:rsidTr="00542ED1">
        <w:trPr>
          <w:trHeight w:val="1830"/>
        </w:trPr>
        <w:tc>
          <w:tcPr>
            <w:tcW w:w="110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6174" w14:textId="2402F728" w:rsidR="00BD19A2" w:rsidRPr="008447AE" w:rsidRDefault="00BD19A2" w:rsidP="00611CE7">
            <w:r w:rsidRPr="008447AE">
              <w:rPr>
                <w:b/>
              </w:rPr>
              <w:t>CORE RESPONSIBILITIES</w:t>
            </w:r>
            <w:r w:rsidRPr="008447AE">
              <w:t xml:space="preserve"> </w:t>
            </w:r>
          </w:p>
          <w:p w14:paraId="2A905D42" w14:textId="7875EA40" w:rsidR="008D52EB" w:rsidRPr="008447AE" w:rsidRDefault="008447AE" w:rsidP="00F71A53">
            <w:pPr>
              <w:jc w:val="both"/>
            </w:pPr>
            <w:r w:rsidRPr="008F556B">
              <w:rPr>
                <w:rFonts w:cs="Helvetica"/>
                <w:spacing w:val="2"/>
                <w:shd w:val="clear" w:color="auto" w:fill="FFFFFF"/>
              </w:rPr>
              <w:t>Leading the delivery of projects aligned with strategic priorities</w:t>
            </w:r>
            <w:r w:rsidRPr="008447AE">
              <w:rPr>
                <w:rFonts w:cs="Helvetica"/>
                <w:color w:val="244B5A"/>
                <w:spacing w:val="2"/>
                <w:shd w:val="clear" w:color="auto" w:fill="FFFFFF"/>
              </w:rPr>
              <w:t xml:space="preserve">.  </w:t>
            </w:r>
            <w:r w:rsidR="00467454" w:rsidRPr="008447AE">
              <w:t xml:space="preserve">Driving a culture of enhanced customer service, </w:t>
            </w:r>
            <w:r w:rsidR="004E405C" w:rsidRPr="008447AE">
              <w:t>robust governance</w:t>
            </w:r>
            <w:r w:rsidR="00467454" w:rsidRPr="008447AE">
              <w:t xml:space="preserve"> and optimum performance</w:t>
            </w:r>
            <w:r w:rsidR="002E6B22">
              <w:t xml:space="preserve">. </w:t>
            </w:r>
            <w:r w:rsidR="00611CE7" w:rsidRPr="008447AE">
              <w:t>High level of technical/specialist knowledge</w:t>
            </w:r>
            <w:r w:rsidR="006531BF" w:rsidRPr="008447AE">
              <w:t xml:space="preserve">.  Leading co-ordination of </w:t>
            </w:r>
            <w:r w:rsidR="00611CE7" w:rsidRPr="008447AE">
              <w:t>core internal/external services</w:t>
            </w:r>
            <w:r w:rsidR="00470C89" w:rsidRPr="008447AE">
              <w:t>, performance</w:t>
            </w:r>
            <w:r w:rsidR="008C23CD" w:rsidRPr="008447AE">
              <w:t>,</w:t>
            </w:r>
            <w:r w:rsidR="00470C89" w:rsidRPr="008447AE">
              <w:t xml:space="preserve"> and stakeholder communication.</w:t>
            </w:r>
            <w:r w:rsidR="00611CE7" w:rsidRPr="008447AE">
              <w:t xml:space="preserve"> </w:t>
            </w:r>
            <w:r w:rsidR="008D52EB" w:rsidRPr="008447AE">
              <w:t>Engaging in effective, appropriate professional conduct.  Leading the development of comprehensive and accurate records, reporting and administrative systems that demonstrate compliance with legislative and regulatory standards</w:t>
            </w:r>
            <w:r w:rsidR="00467454" w:rsidRPr="008447AE">
              <w:t xml:space="preserve">, reflecting best practice and mitigating risk. </w:t>
            </w:r>
            <w:r w:rsidR="008D52EB" w:rsidRPr="008447AE">
              <w:t xml:space="preserve">  </w:t>
            </w:r>
            <w:r w:rsidR="00F71A53">
              <w:t xml:space="preserve"> Reporting to Directors as required, with line management responsibility through the Corporate Director for outcomes and performance, and accountability to the Management Committee through the Chief Executive.</w:t>
            </w:r>
          </w:p>
        </w:tc>
      </w:tr>
      <w:tr w:rsidR="00BD19A2" w:rsidRPr="003F388E" w14:paraId="115FA9F6" w14:textId="77777777" w:rsidTr="00542ED1">
        <w:trPr>
          <w:trHeight w:val="934"/>
        </w:trPr>
        <w:tc>
          <w:tcPr>
            <w:tcW w:w="110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4CD67" w14:textId="5EA8879E" w:rsidR="00BD19A2" w:rsidRDefault="00BD19A2" w:rsidP="00611CE7">
            <w:pPr>
              <w:pStyle w:val="Heading1"/>
              <w:ind w:left="0"/>
              <w:rPr>
                <w:rFonts w:cstheme="minorBidi"/>
              </w:rPr>
            </w:pPr>
            <w:r w:rsidRPr="003F388E">
              <w:rPr>
                <w:rFonts w:cstheme="minorBidi"/>
              </w:rPr>
              <w:t>SCOPE: Towards 202</w:t>
            </w:r>
            <w:r w:rsidR="008B44E9">
              <w:rPr>
                <w:rFonts w:cstheme="minorBidi"/>
              </w:rPr>
              <w:t>8</w:t>
            </w:r>
            <w:r w:rsidRPr="003F388E">
              <w:rPr>
                <w:rFonts w:cstheme="minorBidi"/>
              </w:rPr>
              <w:t xml:space="preserve">: Shaping Thriving Communities </w:t>
            </w:r>
          </w:p>
          <w:p w14:paraId="4018C58E" w14:textId="028399D8" w:rsidR="00611CE7" w:rsidRPr="00FD1439" w:rsidRDefault="00611CE7" w:rsidP="005B6DDA">
            <w:r w:rsidRPr="00611CE7">
              <w:t>A</w:t>
            </w:r>
            <w:r w:rsidR="00F71A53">
              <w:t xml:space="preserve"> member of the</w:t>
            </w:r>
            <w:r w:rsidR="002E6B22">
              <w:t xml:space="preserve"> Management Team</w:t>
            </w:r>
            <w:r w:rsidR="00F71A53">
              <w:t xml:space="preserve"> based in the Corporate Team</w:t>
            </w:r>
            <w:r w:rsidR="00561D47">
              <w:t>,</w:t>
            </w:r>
            <w:r w:rsidR="00980003">
              <w:t xml:space="preserve"> working closely with </w:t>
            </w:r>
            <w:r w:rsidR="005B6DDA">
              <w:t xml:space="preserve">staff, </w:t>
            </w:r>
            <w:r w:rsidR="002E6B22">
              <w:t xml:space="preserve">assisting in </w:t>
            </w:r>
            <w:r w:rsidR="00EE547A">
              <w:t xml:space="preserve">delivery of strategic projects towards </w:t>
            </w:r>
            <w:r w:rsidR="00261B21">
              <w:t xml:space="preserve">performance </w:t>
            </w:r>
            <w:r w:rsidR="008D52EB">
              <w:t>leadership</w:t>
            </w:r>
            <w:r w:rsidR="00B438BD">
              <w:t xml:space="preserve">, compliance and </w:t>
            </w:r>
            <w:r w:rsidR="00261B21">
              <w:t>service excellence</w:t>
            </w:r>
            <w:r w:rsidRPr="00611CE7">
              <w:t>.  Flexibility and scope of role to reflect organizational priorities, change, and progress towards 202</w:t>
            </w:r>
            <w:r w:rsidR="00DD5DE3">
              <w:t>8</w:t>
            </w:r>
            <w:r w:rsidRPr="00611CE7">
              <w:t xml:space="preserve"> vision.</w:t>
            </w:r>
          </w:p>
        </w:tc>
      </w:tr>
      <w:tr w:rsidR="001120E9" w:rsidRPr="003F388E" w14:paraId="6C53AB4B" w14:textId="77777777" w:rsidTr="00777C5B">
        <w:trPr>
          <w:trHeight w:val="1394"/>
        </w:trPr>
        <w:tc>
          <w:tcPr>
            <w:tcW w:w="110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FFE3" w14:textId="2F740A95" w:rsidR="001120E9" w:rsidRDefault="001120E9" w:rsidP="001120E9">
            <w:pPr>
              <w:pStyle w:val="Heading1"/>
              <w:ind w:left="0"/>
              <w:rPr>
                <w:rFonts w:cstheme="minorBidi"/>
              </w:rPr>
            </w:pPr>
            <w:r>
              <w:rPr>
                <w:rFonts w:cstheme="minorBidi"/>
              </w:rPr>
              <w:t>KEY DUTIES:</w:t>
            </w:r>
          </w:p>
          <w:p w14:paraId="1EFA8A4E" w14:textId="794C1E84" w:rsidR="00DD5DE3" w:rsidRPr="00FD011B" w:rsidRDefault="001A620B" w:rsidP="00F71A53">
            <w:pPr>
              <w:pStyle w:val="ListParagraph"/>
              <w:numPr>
                <w:ilvl w:val="0"/>
                <w:numId w:val="7"/>
              </w:numPr>
              <w:ind w:left="454" w:hanging="425"/>
            </w:pPr>
            <w:r w:rsidRPr="00FD011B">
              <w:t xml:space="preserve">Assembling and leading teams to ensure </w:t>
            </w:r>
            <w:r w:rsidR="00DD5DE3" w:rsidRPr="00FD011B">
              <w:t>delivery of projects aligned to strategic priorities.</w:t>
            </w:r>
          </w:p>
          <w:p w14:paraId="33F05FD0" w14:textId="143F7764" w:rsidR="007229E0" w:rsidRPr="00FD011B" w:rsidRDefault="001120E9" w:rsidP="00F71A53">
            <w:pPr>
              <w:pStyle w:val="Heading1"/>
              <w:numPr>
                <w:ilvl w:val="0"/>
                <w:numId w:val="7"/>
              </w:numPr>
              <w:ind w:left="454" w:hanging="425"/>
              <w:rPr>
                <w:rFonts w:cs="Helvetica"/>
                <w:b w:val="0"/>
                <w:lang w:val="en" w:eastAsia="en-GB"/>
              </w:rPr>
            </w:pPr>
            <w:r w:rsidRPr="00FD011B">
              <w:rPr>
                <w:rFonts w:cs="Helvetica"/>
                <w:b w:val="0"/>
                <w:lang w:val="en" w:eastAsia="en-GB"/>
              </w:rPr>
              <w:t>Developing robust pe</w:t>
            </w:r>
            <w:r w:rsidR="007229E0" w:rsidRPr="00FD011B">
              <w:rPr>
                <w:rFonts w:cs="Helvetica"/>
                <w:b w:val="0"/>
                <w:lang w:val="en" w:eastAsia="en-GB"/>
              </w:rPr>
              <w:t>rformance m</w:t>
            </w:r>
            <w:r w:rsidR="00E95DA9" w:rsidRPr="00FD011B">
              <w:rPr>
                <w:rFonts w:cs="Helvetica"/>
                <w:b w:val="0"/>
                <w:lang w:val="en" w:eastAsia="en-GB"/>
              </w:rPr>
              <w:t>anagement framework</w:t>
            </w:r>
            <w:r w:rsidR="00B0218B" w:rsidRPr="00FD011B">
              <w:rPr>
                <w:rFonts w:cs="Helvetica"/>
                <w:b w:val="0"/>
                <w:lang w:val="en" w:eastAsia="en-GB"/>
              </w:rPr>
              <w:t>s</w:t>
            </w:r>
            <w:r w:rsidR="00E95DA9" w:rsidRPr="00FD011B">
              <w:rPr>
                <w:rFonts w:cs="Helvetica"/>
                <w:b w:val="0"/>
                <w:lang w:val="en" w:eastAsia="en-GB"/>
              </w:rPr>
              <w:t xml:space="preserve">. </w:t>
            </w:r>
          </w:p>
          <w:p w14:paraId="39C0AB2F" w14:textId="0B143782" w:rsidR="00F71A53" w:rsidRPr="00FD011B" w:rsidRDefault="0011015B" w:rsidP="00F71A53">
            <w:pPr>
              <w:pStyle w:val="ListParagraph"/>
              <w:numPr>
                <w:ilvl w:val="0"/>
                <w:numId w:val="7"/>
              </w:numPr>
              <w:ind w:left="454" w:hanging="425"/>
              <w:rPr>
                <w:lang w:val="en" w:eastAsia="en-GB"/>
              </w:rPr>
            </w:pPr>
            <w:r w:rsidRPr="00FD011B">
              <w:rPr>
                <w:lang w:val="en" w:eastAsia="en-GB"/>
              </w:rPr>
              <w:t>Actively c</w:t>
            </w:r>
            <w:r w:rsidR="00F71A53" w:rsidRPr="00FD011B">
              <w:rPr>
                <w:lang w:val="en" w:eastAsia="en-GB"/>
              </w:rPr>
              <w:t>ontributing to policy and strategy development</w:t>
            </w:r>
            <w:r w:rsidR="00393709" w:rsidRPr="00FD011B">
              <w:rPr>
                <w:lang w:val="en" w:eastAsia="en-GB"/>
              </w:rPr>
              <w:t>, including EQIA</w:t>
            </w:r>
            <w:r w:rsidR="00393709" w:rsidRPr="00FD011B">
              <w:rPr>
                <w:rStyle w:val="FootnoteReference"/>
                <w:lang w:val="en" w:eastAsia="en-GB"/>
              </w:rPr>
              <w:footnoteReference w:id="1"/>
            </w:r>
            <w:r w:rsidR="00393709" w:rsidRPr="00FD011B">
              <w:rPr>
                <w:lang w:val="en" w:eastAsia="en-GB"/>
              </w:rPr>
              <w:t xml:space="preserve"> and compliance self-assessments</w:t>
            </w:r>
            <w:r w:rsidR="00F71A53" w:rsidRPr="00FD011B">
              <w:rPr>
                <w:lang w:val="en" w:eastAsia="en-GB"/>
              </w:rPr>
              <w:t>.</w:t>
            </w:r>
          </w:p>
          <w:p w14:paraId="279878D1" w14:textId="41C60D57" w:rsidR="005D1686" w:rsidRPr="00FD011B" w:rsidRDefault="000C44F4" w:rsidP="00F71A53">
            <w:pPr>
              <w:pStyle w:val="ListParagraph"/>
              <w:numPr>
                <w:ilvl w:val="0"/>
                <w:numId w:val="7"/>
              </w:numPr>
              <w:ind w:left="454" w:hanging="425"/>
              <w:rPr>
                <w:lang w:val="en" w:eastAsia="en-GB"/>
              </w:rPr>
            </w:pPr>
            <w:r w:rsidRPr="00FD011B">
              <w:rPr>
                <w:lang w:val="en" w:eastAsia="en-GB"/>
              </w:rPr>
              <w:t>Monitoring and reporting on policy/procedural compliance</w:t>
            </w:r>
            <w:r w:rsidR="00561D47" w:rsidRPr="00FD011B">
              <w:rPr>
                <w:lang w:val="en" w:eastAsia="en-GB"/>
              </w:rPr>
              <w:t xml:space="preserve"> </w:t>
            </w:r>
            <w:r w:rsidR="004E405C" w:rsidRPr="00FD011B">
              <w:rPr>
                <w:lang w:val="en" w:eastAsia="en-GB"/>
              </w:rPr>
              <w:t>extending to GDPR</w:t>
            </w:r>
            <w:r w:rsidR="00393709" w:rsidRPr="00FD011B">
              <w:rPr>
                <w:rStyle w:val="FootnoteReference"/>
                <w:lang w:val="en" w:eastAsia="en-GB"/>
              </w:rPr>
              <w:footnoteReference w:id="2"/>
            </w:r>
            <w:r w:rsidR="004E405C" w:rsidRPr="00FD011B">
              <w:rPr>
                <w:lang w:val="en" w:eastAsia="en-GB"/>
              </w:rPr>
              <w:t xml:space="preserve"> and FOI</w:t>
            </w:r>
            <w:r w:rsidR="00393709" w:rsidRPr="00FD011B">
              <w:rPr>
                <w:rStyle w:val="FootnoteReference"/>
                <w:lang w:val="en" w:eastAsia="en-GB"/>
              </w:rPr>
              <w:footnoteReference w:id="3"/>
            </w:r>
            <w:r w:rsidRPr="00FD011B">
              <w:rPr>
                <w:lang w:val="en" w:eastAsia="en-GB"/>
              </w:rPr>
              <w:t>.</w:t>
            </w:r>
          </w:p>
          <w:p w14:paraId="1F5FC3FE" w14:textId="77777777" w:rsidR="001120E9" w:rsidRPr="00FD011B" w:rsidRDefault="001120E9" w:rsidP="00F71A53">
            <w:pPr>
              <w:pStyle w:val="ListParagraph"/>
              <w:numPr>
                <w:ilvl w:val="0"/>
                <w:numId w:val="7"/>
              </w:numPr>
              <w:ind w:left="454" w:hanging="425"/>
              <w:rPr>
                <w:lang w:val="en" w:eastAsia="en-GB"/>
              </w:rPr>
            </w:pPr>
            <w:r w:rsidRPr="00FD011B">
              <w:rPr>
                <w:rFonts w:cs="Helvetica"/>
                <w:lang w:val="en" w:eastAsia="en-GB"/>
              </w:rPr>
              <w:t xml:space="preserve">Coordinating, analysing and presenting performance </w:t>
            </w:r>
            <w:r w:rsidR="004E405C" w:rsidRPr="00FD011B">
              <w:rPr>
                <w:rFonts w:cs="Helvetica"/>
                <w:lang w:val="en" w:eastAsia="en-GB"/>
              </w:rPr>
              <w:t xml:space="preserve">and compliance </w:t>
            </w:r>
            <w:r w:rsidR="00E95DA9" w:rsidRPr="00FD011B">
              <w:rPr>
                <w:rFonts w:cs="Helvetica"/>
                <w:lang w:val="en" w:eastAsia="en-GB"/>
              </w:rPr>
              <w:t>reports</w:t>
            </w:r>
            <w:r w:rsidR="009F7EA4" w:rsidRPr="00FD011B">
              <w:rPr>
                <w:rFonts w:cs="Helvetica"/>
                <w:lang w:val="en" w:eastAsia="en-GB"/>
              </w:rPr>
              <w:t xml:space="preserve"> across all functions.</w:t>
            </w:r>
          </w:p>
          <w:p w14:paraId="37EEA77D" w14:textId="6A70F899" w:rsidR="00B438BD" w:rsidRPr="00FD011B" w:rsidRDefault="00B438BD" w:rsidP="00F71A5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4" w:hanging="425"/>
              <w:rPr>
                <w:rFonts w:cs="Helvetica"/>
                <w:lang w:val="en" w:eastAsia="en-GB"/>
              </w:rPr>
            </w:pPr>
            <w:r w:rsidRPr="00FD011B">
              <w:rPr>
                <w:rFonts w:cs="Helvetica"/>
                <w:lang w:val="en" w:eastAsia="en-GB"/>
              </w:rPr>
              <w:t xml:space="preserve">Ensuring accurate and timely completion of regulatory returns (including </w:t>
            </w:r>
            <w:r w:rsidR="00561D47" w:rsidRPr="00FD011B">
              <w:rPr>
                <w:rFonts w:cs="Helvetica"/>
                <w:lang w:val="en" w:eastAsia="en-GB"/>
              </w:rPr>
              <w:t>the</w:t>
            </w:r>
            <w:r w:rsidRPr="00FD011B">
              <w:rPr>
                <w:rFonts w:cs="Helvetica"/>
                <w:lang w:val="en" w:eastAsia="en-GB"/>
              </w:rPr>
              <w:t xml:space="preserve"> AR</w:t>
            </w:r>
            <w:r w:rsidR="00A800EA" w:rsidRPr="00FD011B">
              <w:rPr>
                <w:rFonts w:cs="Helvetica"/>
                <w:lang w:val="en" w:eastAsia="en-GB"/>
              </w:rPr>
              <w:t>C</w:t>
            </w:r>
            <w:r w:rsidR="00393709" w:rsidRPr="00FD011B">
              <w:rPr>
                <w:rStyle w:val="FootnoteReference"/>
                <w:rFonts w:cs="Helvetica"/>
                <w:lang w:val="en" w:eastAsia="en-GB"/>
              </w:rPr>
              <w:footnoteReference w:id="4"/>
            </w:r>
            <w:r w:rsidRPr="00FD011B">
              <w:rPr>
                <w:rFonts w:cs="Helvetica"/>
                <w:lang w:val="en" w:eastAsia="en-GB"/>
              </w:rPr>
              <w:t>)</w:t>
            </w:r>
            <w:r w:rsidR="00F71A53" w:rsidRPr="00FD011B">
              <w:rPr>
                <w:rFonts w:cs="Helvetica"/>
                <w:lang w:val="en" w:eastAsia="en-GB"/>
              </w:rPr>
              <w:t>.</w:t>
            </w:r>
          </w:p>
          <w:p w14:paraId="599C336F" w14:textId="0050B4AB" w:rsidR="005D1686" w:rsidRPr="00FD011B" w:rsidRDefault="00F7645A" w:rsidP="00F71A5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4" w:hanging="425"/>
              <w:rPr>
                <w:rFonts w:cs="Helvetica"/>
                <w:lang w:val="en" w:eastAsia="en-GB"/>
              </w:rPr>
            </w:pPr>
            <w:r w:rsidRPr="00FD011B">
              <w:rPr>
                <w:rFonts w:cs="Helvetica"/>
                <w:lang w:val="en" w:eastAsia="en-GB"/>
              </w:rPr>
              <w:t xml:space="preserve">Scrutinising </w:t>
            </w:r>
            <w:r w:rsidR="00C21722" w:rsidRPr="00FD011B">
              <w:rPr>
                <w:rFonts w:cs="Helvetica"/>
                <w:lang w:val="en" w:eastAsia="en-GB"/>
              </w:rPr>
              <w:t xml:space="preserve">and validating </w:t>
            </w:r>
            <w:r w:rsidR="00E95DA9" w:rsidRPr="00FD011B">
              <w:rPr>
                <w:rFonts w:cs="Helvetica"/>
                <w:lang w:val="en" w:eastAsia="en-GB"/>
              </w:rPr>
              <w:t xml:space="preserve">performance </w:t>
            </w:r>
            <w:r w:rsidRPr="00FD011B">
              <w:rPr>
                <w:rFonts w:cs="Helvetica"/>
                <w:lang w:val="en" w:eastAsia="en-GB"/>
              </w:rPr>
              <w:t>data</w:t>
            </w:r>
            <w:r w:rsidR="00FA0C5E" w:rsidRPr="00FD011B">
              <w:rPr>
                <w:rFonts w:cs="Helvetica"/>
                <w:lang w:val="en" w:eastAsia="en-GB"/>
              </w:rPr>
              <w:t xml:space="preserve"> &amp; statistics</w:t>
            </w:r>
            <w:r w:rsidR="00C21722" w:rsidRPr="00FD011B">
              <w:rPr>
                <w:rFonts w:cs="Helvetica"/>
                <w:lang w:val="en" w:eastAsia="en-GB"/>
              </w:rPr>
              <w:t>.</w:t>
            </w:r>
          </w:p>
          <w:p w14:paraId="586E1F09" w14:textId="26C5F897" w:rsidR="008F668A" w:rsidRPr="00FD011B" w:rsidRDefault="008F668A" w:rsidP="00F71A5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4" w:hanging="425"/>
              <w:rPr>
                <w:rFonts w:cs="Helvetica"/>
                <w:lang w:val="en" w:eastAsia="en-GB"/>
              </w:rPr>
            </w:pPr>
            <w:r w:rsidRPr="00FD011B">
              <w:rPr>
                <w:rFonts w:cs="Helvetica"/>
                <w:lang w:val="en" w:eastAsia="en-GB"/>
              </w:rPr>
              <w:t xml:space="preserve">Liaising with Teams to identify and </w:t>
            </w:r>
            <w:r w:rsidR="001134AD" w:rsidRPr="00FD011B">
              <w:rPr>
                <w:rFonts w:cs="Helvetica"/>
                <w:lang w:val="en" w:eastAsia="en-GB"/>
              </w:rPr>
              <w:t>implement process efficiencies.</w:t>
            </w:r>
          </w:p>
          <w:p w14:paraId="13A983D3" w14:textId="77777777" w:rsidR="00E95DA9" w:rsidRPr="00FD011B" w:rsidRDefault="00E95DA9" w:rsidP="00F71A5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4" w:hanging="425"/>
              <w:rPr>
                <w:rFonts w:cs="Helvetica"/>
                <w:lang w:val="en" w:eastAsia="en-GB"/>
              </w:rPr>
            </w:pPr>
            <w:r w:rsidRPr="00FD011B">
              <w:rPr>
                <w:rFonts w:cs="Helvetica"/>
                <w:lang w:val="en" w:eastAsia="en-GB"/>
              </w:rPr>
              <w:t>Ensuring ap</w:t>
            </w:r>
            <w:r w:rsidR="006C3630" w:rsidRPr="00FD011B">
              <w:rPr>
                <w:rFonts w:cs="Helvetica"/>
                <w:lang w:val="en" w:eastAsia="en-GB"/>
              </w:rPr>
              <w:t>propriate performance bench-marking.</w:t>
            </w:r>
          </w:p>
          <w:p w14:paraId="6932EA2D" w14:textId="6209B15B" w:rsidR="00467454" w:rsidRPr="00FD011B" w:rsidRDefault="00467454" w:rsidP="00F71A5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4" w:hanging="425"/>
              <w:rPr>
                <w:rFonts w:cs="Helvetica"/>
                <w:lang w:val="en" w:eastAsia="en-GB"/>
              </w:rPr>
            </w:pPr>
            <w:r w:rsidRPr="00FD011B">
              <w:rPr>
                <w:rFonts w:cs="Helvetica"/>
                <w:lang w:val="en" w:eastAsia="en-GB"/>
              </w:rPr>
              <w:t xml:space="preserve">Managing service satisfaction </w:t>
            </w:r>
            <w:r w:rsidR="00F71A53" w:rsidRPr="00FD011B">
              <w:rPr>
                <w:rFonts w:cs="Helvetica"/>
                <w:lang w:val="en" w:eastAsia="en-GB"/>
              </w:rPr>
              <w:t>and complaints monitoring and analysis.</w:t>
            </w:r>
            <w:r w:rsidRPr="00FD011B">
              <w:rPr>
                <w:rFonts w:cs="Helvetica"/>
                <w:lang w:val="en" w:eastAsia="en-GB"/>
              </w:rPr>
              <w:t xml:space="preserve"> </w:t>
            </w:r>
          </w:p>
          <w:p w14:paraId="614EA6D9" w14:textId="73CA4EFA" w:rsidR="00F7645A" w:rsidRPr="00FD011B" w:rsidRDefault="00111CA6" w:rsidP="00F71A5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4" w:hanging="425"/>
              <w:rPr>
                <w:rFonts w:cs="Helvetica"/>
                <w:lang w:val="en" w:eastAsia="en-GB"/>
              </w:rPr>
            </w:pPr>
            <w:r w:rsidRPr="00FD011B">
              <w:rPr>
                <w:rFonts w:cs="Helvetica"/>
                <w:lang w:val="en" w:eastAsia="en-GB"/>
              </w:rPr>
              <w:t xml:space="preserve">Monitoring delivery of </w:t>
            </w:r>
            <w:r w:rsidR="00F7645A" w:rsidRPr="00FD011B">
              <w:rPr>
                <w:rFonts w:cs="Helvetica"/>
                <w:lang w:val="en" w:eastAsia="en-GB"/>
              </w:rPr>
              <w:t>service improvements</w:t>
            </w:r>
            <w:r w:rsidR="00624E93" w:rsidRPr="00FD011B">
              <w:rPr>
                <w:rFonts w:cs="Helvetica"/>
                <w:lang w:val="en" w:eastAsia="en-GB"/>
              </w:rPr>
              <w:t>, including systems audit a</w:t>
            </w:r>
            <w:r w:rsidR="00F71A53" w:rsidRPr="00FD011B">
              <w:rPr>
                <w:rFonts w:cs="Helvetica"/>
                <w:lang w:val="en" w:eastAsia="en-GB"/>
              </w:rPr>
              <w:t>ctions.</w:t>
            </w:r>
          </w:p>
          <w:p w14:paraId="2163BF41" w14:textId="77777777" w:rsidR="001120E9" w:rsidRPr="00FD011B" w:rsidRDefault="000C44F4" w:rsidP="00F71A5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4" w:hanging="425"/>
            </w:pPr>
            <w:r w:rsidRPr="00FD011B">
              <w:t>Consulting with service users (including tenants groups) regarding proposed changes to policies, services and activities.</w:t>
            </w:r>
          </w:p>
          <w:p w14:paraId="0AACF416" w14:textId="77777777" w:rsidR="00E95DA9" w:rsidRPr="00FD011B" w:rsidRDefault="00E95DA9" w:rsidP="00F71A5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4" w:hanging="425"/>
            </w:pPr>
            <w:r w:rsidRPr="00FD011B">
              <w:t>E</w:t>
            </w:r>
            <w:r w:rsidR="008F668A" w:rsidRPr="00FD011B">
              <w:t>valuating services initiatives.</w:t>
            </w:r>
          </w:p>
          <w:p w14:paraId="281CB0CF" w14:textId="77777777" w:rsidR="00731632" w:rsidRPr="00FD011B" w:rsidRDefault="00731632" w:rsidP="00F71A5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4" w:hanging="425"/>
            </w:pPr>
            <w:r w:rsidRPr="00FD011B">
              <w:t xml:space="preserve">Reviewing corporate publications prior to issue to ensure appropriate format, context and content (e.g. newsletter) </w:t>
            </w:r>
          </w:p>
          <w:p w14:paraId="6FB7AD3E" w14:textId="63275A8B" w:rsidR="00470C89" w:rsidRPr="00FD011B" w:rsidRDefault="00F71A53" w:rsidP="00F71A5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4" w:hanging="425"/>
            </w:pPr>
            <w:r w:rsidRPr="00FD011B">
              <w:t>E</w:t>
            </w:r>
            <w:r w:rsidR="00470C89" w:rsidRPr="00FD011B">
              <w:t>nsur</w:t>
            </w:r>
            <w:r w:rsidRPr="00FD011B">
              <w:t xml:space="preserve">ing </w:t>
            </w:r>
            <w:r w:rsidR="00470C89" w:rsidRPr="00FD011B">
              <w:t>accurate</w:t>
            </w:r>
            <w:r w:rsidR="00663C0C" w:rsidRPr="00FD011B">
              <w:t xml:space="preserve"> and up to date </w:t>
            </w:r>
            <w:r w:rsidR="00470C89" w:rsidRPr="00FD011B">
              <w:t xml:space="preserve">communications via website and other social media </w:t>
            </w:r>
            <w:r w:rsidR="00CB5B74" w:rsidRPr="00FD011B">
              <w:t xml:space="preserve">and ICT </w:t>
            </w:r>
            <w:r w:rsidR="00470C89" w:rsidRPr="00FD011B">
              <w:t>platforms.</w:t>
            </w:r>
          </w:p>
          <w:p w14:paraId="1B4C6EFD" w14:textId="28FFC6B2" w:rsidR="001A620B" w:rsidRPr="00FD011B" w:rsidRDefault="001A620B" w:rsidP="00F71A5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4" w:hanging="425"/>
            </w:pPr>
            <w:r w:rsidRPr="00FD011B">
              <w:rPr>
                <w:rFonts w:cs="Arial"/>
              </w:rPr>
              <w:t>Work</w:t>
            </w:r>
            <w:r w:rsidR="009A41C9" w:rsidRPr="00FD011B">
              <w:rPr>
                <w:rFonts w:cs="Arial"/>
              </w:rPr>
              <w:t xml:space="preserve">ing with </w:t>
            </w:r>
            <w:r w:rsidRPr="00FD011B">
              <w:rPr>
                <w:rFonts w:cs="Arial"/>
              </w:rPr>
              <w:t>external s</w:t>
            </w:r>
            <w:r w:rsidR="009A41C9" w:rsidRPr="00FD011B">
              <w:rPr>
                <w:rFonts w:cs="Arial"/>
              </w:rPr>
              <w:t>takeholders, s</w:t>
            </w:r>
            <w:r w:rsidRPr="00FD011B">
              <w:rPr>
                <w:rFonts w:cs="Arial"/>
              </w:rPr>
              <w:t>uppliers and management information systems to extract, consolidate and manipulate data for the production of performance and regulatory reporting.</w:t>
            </w:r>
          </w:p>
          <w:p w14:paraId="747E1EA1" w14:textId="77777777" w:rsidR="005D1686" w:rsidRPr="00FD011B" w:rsidRDefault="005D1686" w:rsidP="00F71A5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4" w:hanging="425"/>
            </w:pPr>
            <w:r w:rsidRPr="00FD011B">
              <w:t>Developing measures that demonstrate continuous improvement and customer service excellence.</w:t>
            </w:r>
          </w:p>
          <w:p w14:paraId="2569F11D" w14:textId="77777777" w:rsidR="00E95DA9" w:rsidRPr="001120E9" w:rsidRDefault="00E95DA9" w:rsidP="00F71A5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4" w:hanging="425"/>
            </w:pPr>
            <w:r w:rsidRPr="00FD011B">
              <w:t xml:space="preserve">Coordinating and attending consumer panel and other </w:t>
            </w:r>
            <w:r w:rsidR="00E55EDB" w:rsidRPr="00FD011B">
              <w:t xml:space="preserve">performance </w:t>
            </w:r>
            <w:r w:rsidRPr="00FD011B">
              <w:t>meetings as required.</w:t>
            </w:r>
          </w:p>
        </w:tc>
      </w:tr>
    </w:tbl>
    <w:p w14:paraId="60DF3A34" w14:textId="77777777" w:rsidR="00BD19A2" w:rsidRPr="003F388E" w:rsidRDefault="00BD19A2" w:rsidP="00BD19A2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8819"/>
      </w:tblGrid>
      <w:tr w:rsidR="00BD19A2" w:rsidRPr="003F388E" w14:paraId="2994C1E0" w14:textId="77777777" w:rsidTr="00777C5B">
        <w:trPr>
          <w:trHeight w:val="70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D4B3" w14:textId="77777777" w:rsidR="00BD19A2" w:rsidRPr="003F388E" w:rsidRDefault="00BD19A2">
            <w:pPr>
              <w:rPr>
                <w:sz w:val="28"/>
                <w:szCs w:val="28"/>
              </w:rPr>
            </w:pPr>
            <w:r w:rsidRPr="003F388E">
              <w:br w:type="page"/>
            </w:r>
            <w:r w:rsidRPr="003F388E">
              <w:rPr>
                <w:b/>
                <w:sz w:val="28"/>
                <w:szCs w:val="28"/>
              </w:rPr>
              <w:t xml:space="preserve">COMPETENCIES </w:t>
            </w:r>
          </w:p>
        </w:tc>
      </w:tr>
      <w:tr w:rsidR="00BD19A2" w:rsidRPr="003F388E" w14:paraId="4E92153C" w14:textId="77777777" w:rsidTr="00777C5B">
        <w:trPr>
          <w:trHeight w:val="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891D" w14:textId="77777777" w:rsidR="00BD19A2" w:rsidRPr="003F388E" w:rsidRDefault="009A6395">
            <w:pPr>
              <w:spacing w:before="60" w:after="40"/>
            </w:pPr>
            <w:r w:rsidRPr="009A6395">
              <w:t>Team Working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0A64" w14:textId="02E8D96C" w:rsidR="001A620B" w:rsidRPr="001A620B" w:rsidRDefault="001A620B" w:rsidP="001A620B">
            <w:r>
              <w:t xml:space="preserve">Experience of assembling and </w:t>
            </w:r>
            <w:r w:rsidRPr="001A620B">
              <w:t>lead</w:t>
            </w:r>
            <w:r>
              <w:t>ing teams.</w:t>
            </w:r>
          </w:p>
          <w:p w14:paraId="563EF619" w14:textId="3D75088F" w:rsidR="009A6395" w:rsidRPr="00CC0714" w:rsidRDefault="009A6395" w:rsidP="001A620B">
            <w:r w:rsidRPr="00CC0714">
              <w:t>Proactively engages with others to ensure accurate and comprehensive information is shared.</w:t>
            </w:r>
          </w:p>
          <w:p w14:paraId="487411BF" w14:textId="77777777" w:rsidR="000900C3" w:rsidRPr="001A620B" w:rsidRDefault="00731632" w:rsidP="00E65381">
            <w:pPr>
              <w:jc w:val="both"/>
            </w:pPr>
            <w:r w:rsidRPr="00CC0714">
              <w:t>Operates in a c</w:t>
            </w:r>
            <w:r w:rsidR="00B14692" w:rsidRPr="00CC0714">
              <w:t>ollaborative manner, actively contributing to, and participating in, team discussions and activities.</w:t>
            </w:r>
          </w:p>
          <w:p w14:paraId="1919BF86" w14:textId="617E35DF" w:rsidR="001A620B" w:rsidRPr="003822FC" w:rsidRDefault="008B44E9" w:rsidP="00E65381">
            <w:pPr>
              <w:jc w:val="both"/>
            </w:pPr>
            <w:r w:rsidRPr="003822FC">
              <w:rPr>
                <w:rFonts w:cs="Arial"/>
              </w:rPr>
              <w:t xml:space="preserve">Preparing and delivering </w:t>
            </w:r>
            <w:r w:rsidR="009A41C9" w:rsidRPr="003822FC">
              <w:rPr>
                <w:rFonts w:cs="Arial"/>
              </w:rPr>
              <w:t xml:space="preserve">training where </w:t>
            </w:r>
            <w:r w:rsidR="001A620B" w:rsidRPr="003822FC">
              <w:rPr>
                <w:rFonts w:cs="Arial"/>
              </w:rPr>
              <w:t>required, to ensure</w:t>
            </w:r>
            <w:r w:rsidR="009A41C9" w:rsidRPr="003822FC">
              <w:rPr>
                <w:rFonts w:cs="Arial"/>
              </w:rPr>
              <w:t xml:space="preserve"> staff have the right skills to </w:t>
            </w:r>
            <w:r w:rsidR="001A620B" w:rsidRPr="003822FC">
              <w:rPr>
                <w:rFonts w:cs="Arial"/>
              </w:rPr>
              <w:t>deliver excellent customer service.</w:t>
            </w:r>
          </w:p>
          <w:p w14:paraId="27D99F1C" w14:textId="77777777" w:rsidR="009A6395" w:rsidRPr="00CC0714" w:rsidRDefault="009A6395" w:rsidP="00E65381">
            <w:pPr>
              <w:jc w:val="both"/>
            </w:pPr>
            <w:r w:rsidRPr="00CC0714">
              <w:t xml:space="preserve">Promotes and engages in positive team work, respecting the contribution of others. </w:t>
            </w:r>
          </w:p>
          <w:p w14:paraId="0A9596CE" w14:textId="77777777" w:rsidR="000900C3" w:rsidRPr="00CC0714" w:rsidRDefault="000900C3" w:rsidP="00E65381">
            <w:pPr>
              <w:jc w:val="both"/>
            </w:pPr>
            <w:r w:rsidRPr="00CC0714">
              <w:t>Experience of inter-disciplinary team work.</w:t>
            </w:r>
          </w:p>
          <w:p w14:paraId="27C70779" w14:textId="77777777" w:rsidR="009A6395" w:rsidRPr="00CC0714" w:rsidRDefault="009A6395" w:rsidP="00E65381">
            <w:pPr>
              <w:jc w:val="both"/>
            </w:pPr>
            <w:r w:rsidRPr="00CC0714">
              <w:t>Highlights issues of importance and keeps team appraised on matters of common interest.</w:t>
            </w:r>
          </w:p>
          <w:p w14:paraId="19766DFF" w14:textId="77777777" w:rsidR="009A6395" w:rsidRPr="00CC0714" w:rsidRDefault="009A6395" w:rsidP="00E65381">
            <w:pPr>
              <w:jc w:val="both"/>
            </w:pPr>
            <w:r w:rsidRPr="00CC0714">
              <w:lastRenderedPageBreak/>
              <w:t xml:space="preserve">Comfortable with lone working and displays awareness of personal safety and risk.  </w:t>
            </w:r>
          </w:p>
          <w:p w14:paraId="6F669C96" w14:textId="77777777" w:rsidR="00BD19A2" w:rsidRPr="00CC0714" w:rsidRDefault="009A6395" w:rsidP="00E65381">
            <w:pPr>
              <w:jc w:val="both"/>
            </w:pPr>
            <w:r w:rsidRPr="00CC0714">
              <w:t>Uses initiative</w:t>
            </w:r>
            <w:r w:rsidR="009449B1" w:rsidRPr="00CC0714">
              <w:t xml:space="preserve"> and</w:t>
            </w:r>
            <w:r w:rsidRPr="00CC0714">
              <w:t xml:space="preserve"> generates ideas.</w:t>
            </w:r>
          </w:p>
        </w:tc>
      </w:tr>
      <w:tr w:rsidR="009A6395" w:rsidRPr="003F388E" w14:paraId="14ED1188" w14:textId="77777777" w:rsidTr="00777C5B">
        <w:trPr>
          <w:trHeight w:val="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8A9E" w14:textId="33EE8E31" w:rsidR="009A6395" w:rsidRPr="009A6395" w:rsidRDefault="009A6395" w:rsidP="000C6CCE">
            <w:pPr>
              <w:spacing w:before="60" w:after="40"/>
            </w:pPr>
            <w:r w:rsidRPr="009A6395">
              <w:lastRenderedPageBreak/>
              <w:t>Knowledge</w:t>
            </w:r>
            <w:r w:rsidR="000C6CCE">
              <w:t xml:space="preserve"> 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7427" w14:textId="12D581EA" w:rsidR="00916C76" w:rsidRDefault="00916C76" w:rsidP="00E65381">
            <w:pPr>
              <w:jc w:val="both"/>
            </w:pPr>
            <w:r>
              <w:t xml:space="preserve">Further educated to </w:t>
            </w:r>
            <w:r w:rsidR="005B6DDA">
              <w:t xml:space="preserve">Degree level </w:t>
            </w:r>
            <w:r>
              <w:t>or equivalent</w:t>
            </w:r>
            <w:r w:rsidR="005B6DDA">
              <w:t>;</w:t>
            </w:r>
            <w:r w:rsidR="00A16A48">
              <w:t xml:space="preserve"> or demonstrable</w:t>
            </w:r>
            <w:r w:rsidR="005B6DDA">
              <w:t xml:space="preserve"> extensive </w:t>
            </w:r>
            <w:r w:rsidR="00A16A48">
              <w:t>experience of RSL reporting requirements or performance management/quality frameworks.</w:t>
            </w:r>
          </w:p>
          <w:p w14:paraId="00E11E44" w14:textId="4D5E840F" w:rsidR="001A620B" w:rsidRDefault="009B69CA" w:rsidP="00E65381">
            <w:pPr>
              <w:jc w:val="both"/>
            </w:pPr>
            <w:r>
              <w:t xml:space="preserve">Quality management/audit qualification </w:t>
            </w:r>
            <w:r w:rsidR="006731A9">
              <w:t xml:space="preserve">and/or </w:t>
            </w:r>
            <w:r>
              <w:t>experience</w:t>
            </w:r>
            <w:r w:rsidR="001A620B">
              <w:t xml:space="preserve"> </w:t>
            </w:r>
          </w:p>
          <w:p w14:paraId="67E3B7D9" w14:textId="77777777" w:rsidR="009A6395" w:rsidRPr="00CC0714" w:rsidRDefault="00B438BD" w:rsidP="00E65381">
            <w:pPr>
              <w:jc w:val="both"/>
            </w:pPr>
            <w:r w:rsidRPr="00CC0714">
              <w:t>Comprehensive understanding of t</w:t>
            </w:r>
            <w:r w:rsidR="009A6395" w:rsidRPr="00CC0714">
              <w:t>he housing sector, its wider environment and the changing role of RSLs.</w:t>
            </w:r>
          </w:p>
          <w:p w14:paraId="2610E19E" w14:textId="77777777" w:rsidR="00776AFD" w:rsidRPr="00CC0714" w:rsidRDefault="00776AFD" w:rsidP="00E65381">
            <w:pPr>
              <w:jc w:val="both"/>
            </w:pPr>
            <w:r w:rsidRPr="00CC0714">
              <w:t xml:space="preserve">Practical experience of the SSHC, </w:t>
            </w:r>
            <w:r w:rsidR="00731632" w:rsidRPr="00CC0714">
              <w:t xml:space="preserve">the </w:t>
            </w:r>
            <w:r w:rsidRPr="00CC0714">
              <w:t>Annual Return on the Charter and Complaints Handling</w:t>
            </w:r>
            <w:r w:rsidR="00E97CBF" w:rsidRPr="00CC0714">
              <w:t>.</w:t>
            </w:r>
            <w:r w:rsidRPr="00CC0714">
              <w:t xml:space="preserve"> </w:t>
            </w:r>
          </w:p>
          <w:p w14:paraId="70AC1F72" w14:textId="77777777" w:rsidR="009A6395" w:rsidRPr="00CC0714" w:rsidRDefault="009A6395" w:rsidP="00E65381">
            <w:pPr>
              <w:jc w:val="both"/>
            </w:pPr>
            <w:r w:rsidRPr="00CC0714">
              <w:t xml:space="preserve">Appropriate knowledge and specialism to reflect </w:t>
            </w:r>
            <w:r w:rsidR="000900C3" w:rsidRPr="00CC0714">
              <w:t xml:space="preserve">the </w:t>
            </w:r>
            <w:r w:rsidRPr="00CC0714">
              <w:t>core responsibilities and scope of role.</w:t>
            </w:r>
          </w:p>
          <w:p w14:paraId="163F4955" w14:textId="77777777" w:rsidR="003748AA" w:rsidRPr="00CC0714" w:rsidRDefault="00827A13" w:rsidP="00E65381">
            <w:pPr>
              <w:jc w:val="both"/>
            </w:pPr>
            <w:r w:rsidRPr="00CC0714">
              <w:t>Thorough</w:t>
            </w:r>
            <w:r w:rsidR="00EA1201" w:rsidRPr="00CC0714">
              <w:t xml:space="preserve"> understanding of performance and compliance frameworks. </w:t>
            </w:r>
          </w:p>
        </w:tc>
      </w:tr>
      <w:tr w:rsidR="00BD19A2" w:rsidRPr="003F388E" w14:paraId="0484A082" w14:textId="77777777" w:rsidTr="00777C5B">
        <w:trPr>
          <w:trHeight w:val="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451A" w14:textId="77777777" w:rsidR="00BD19A2" w:rsidRPr="003F388E" w:rsidRDefault="00BD19A2">
            <w:pPr>
              <w:spacing w:before="60" w:after="40"/>
            </w:pPr>
            <w:r w:rsidRPr="003F388E">
              <w:t>Professionalism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E737" w14:textId="334DDFAB" w:rsidR="009A6395" w:rsidRPr="00B438BD" w:rsidRDefault="009A6395" w:rsidP="00E65381">
            <w:pPr>
              <w:pStyle w:val="NoSpacing"/>
              <w:jc w:val="both"/>
            </w:pPr>
            <w:r w:rsidRPr="00B438BD">
              <w:t xml:space="preserve">Operates within the framework of policies and procedures and actively </w:t>
            </w:r>
            <w:r w:rsidR="00F71A53">
              <w:t xml:space="preserve">contributes </w:t>
            </w:r>
            <w:r w:rsidR="009A41C9">
              <w:t xml:space="preserve">leads </w:t>
            </w:r>
            <w:r w:rsidRPr="00B438BD">
              <w:t>the review and delivery of same.</w:t>
            </w:r>
          </w:p>
          <w:p w14:paraId="3493EA9E" w14:textId="77777777" w:rsidR="009A6395" w:rsidRPr="00B438BD" w:rsidRDefault="009A6395" w:rsidP="00E65381">
            <w:pPr>
              <w:pStyle w:val="NoSpacing"/>
              <w:jc w:val="both"/>
            </w:pPr>
            <w:r w:rsidRPr="00B438BD">
              <w:t xml:space="preserve">Displays willingness and enthusiasm in carrying out responsibilities and tasks.  </w:t>
            </w:r>
          </w:p>
          <w:p w14:paraId="299C8DBD" w14:textId="77777777" w:rsidR="009A6395" w:rsidRPr="00B438BD" w:rsidRDefault="009A6395" w:rsidP="00E65381">
            <w:pPr>
              <w:pStyle w:val="NoSpacing"/>
              <w:jc w:val="both"/>
            </w:pPr>
            <w:r w:rsidRPr="00B438BD">
              <w:t xml:space="preserve">Commitment to change, continuous improvement, learning and best practice. </w:t>
            </w:r>
          </w:p>
          <w:p w14:paraId="75F64A13" w14:textId="77777777" w:rsidR="00BD19A2" w:rsidRPr="00B438BD" w:rsidRDefault="009A6395" w:rsidP="00E65381">
            <w:pPr>
              <w:pStyle w:val="NoSpacing"/>
              <w:jc w:val="both"/>
            </w:pPr>
            <w:r w:rsidRPr="00B438BD">
              <w:t xml:space="preserve">Awareness of personal strengths and limitations and seeks support, assistance and intervention as appropriate.  </w:t>
            </w:r>
          </w:p>
        </w:tc>
      </w:tr>
      <w:tr w:rsidR="00BD19A2" w:rsidRPr="003F388E" w14:paraId="03BD0D00" w14:textId="77777777" w:rsidTr="00777C5B">
        <w:trPr>
          <w:trHeight w:val="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5A63" w14:textId="77777777" w:rsidR="00BD19A2" w:rsidRPr="003F388E" w:rsidRDefault="00BD19A2">
            <w:pPr>
              <w:spacing w:before="60" w:after="40"/>
            </w:pPr>
            <w:r w:rsidRPr="003F388E">
              <w:t xml:space="preserve">Customer service 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8CE4" w14:textId="77777777" w:rsidR="009A6395" w:rsidRDefault="009A6395" w:rsidP="00E65381">
            <w:pPr>
              <w:pStyle w:val="NoSpacing"/>
              <w:jc w:val="both"/>
            </w:pPr>
            <w:r>
              <w:t>Embraces a culture of quality, responsive customer service and engagement.</w:t>
            </w:r>
          </w:p>
          <w:p w14:paraId="075FC34D" w14:textId="77777777" w:rsidR="009A6395" w:rsidRDefault="009A6395" w:rsidP="00E65381">
            <w:pPr>
              <w:pStyle w:val="NoSpacing"/>
              <w:jc w:val="both"/>
            </w:pPr>
            <w:r>
              <w:t>Provides accurate and appropriate advice, information, assistance and support to external and internal customers and stakeholders.</w:t>
            </w:r>
          </w:p>
          <w:p w14:paraId="7FD4047C" w14:textId="77777777" w:rsidR="00BD19A2" w:rsidRPr="003F388E" w:rsidRDefault="009A6395" w:rsidP="00E65381">
            <w:pPr>
              <w:pStyle w:val="NoSpacing"/>
              <w:jc w:val="both"/>
            </w:pPr>
            <w:r>
              <w:t>Mitigates complaints through successful service delivery and interaction.</w:t>
            </w:r>
          </w:p>
        </w:tc>
      </w:tr>
      <w:tr w:rsidR="00BD19A2" w:rsidRPr="003F388E" w14:paraId="4B067DE1" w14:textId="77777777" w:rsidTr="00777C5B">
        <w:trPr>
          <w:trHeight w:val="22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6789" w14:textId="77777777" w:rsidR="00BD19A2" w:rsidRPr="003F388E" w:rsidRDefault="00BD19A2">
            <w:pPr>
              <w:spacing w:before="60" w:after="40"/>
            </w:pPr>
            <w:r w:rsidRPr="003F388E">
              <w:t xml:space="preserve">Interpersonal 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7364" w14:textId="6BB6D9C8" w:rsidR="009449B1" w:rsidRDefault="009A41C9" w:rsidP="00E65381">
            <w:pPr>
              <w:pStyle w:val="NoSpacing"/>
              <w:jc w:val="both"/>
            </w:pPr>
            <w:r>
              <w:t xml:space="preserve">Resilient, </w:t>
            </w:r>
            <w:r w:rsidR="009A6395" w:rsidRPr="009A6395">
              <w:t>Self</w:t>
            </w:r>
            <w:r w:rsidR="004E405C">
              <w:t>-</w:t>
            </w:r>
            <w:r w:rsidR="009A6395" w:rsidRPr="009A6395">
              <w:t xml:space="preserve"> motivated, flexible, reliable, adaptable and sociable, demonstrating self-confidence, initiative and drive to ensure common goals are achieved.</w:t>
            </w:r>
          </w:p>
          <w:p w14:paraId="05989E88" w14:textId="28078550" w:rsidR="009A41C9" w:rsidRPr="003F388E" w:rsidRDefault="009A41C9" w:rsidP="00E65381">
            <w:pPr>
              <w:pStyle w:val="NoSpacing"/>
              <w:jc w:val="both"/>
            </w:pPr>
            <w:r>
              <w:t>Customer and outcome focussed.</w:t>
            </w:r>
          </w:p>
        </w:tc>
      </w:tr>
      <w:tr w:rsidR="00BD19A2" w:rsidRPr="003F388E" w14:paraId="5ED71BDF" w14:textId="77777777" w:rsidTr="00777C5B">
        <w:trPr>
          <w:trHeight w:val="22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FC99" w14:textId="5465D063" w:rsidR="00BD19A2" w:rsidRPr="003F388E" w:rsidRDefault="00BD19A2">
            <w:pPr>
              <w:spacing w:before="60" w:after="40"/>
            </w:pPr>
            <w:r w:rsidRPr="003F388E">
              <w:t xml:space="preserve">Organisational &amp; analytical 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6DF2" w14:textId="77777777" w:rsidR="00B14692" w:rsidRPr="006531BF" w:rsidRDefault="00B14692" w:rsidP="00E65381">
            <w:pPr>
              <w:pStyle w:val="NoSpacing"/>
              <w:jc w:val="both"/>
            </w:pPr>
            <w:r w:rsidRPr="006531BF">
              <w:t xml:space="preserve">Highly organised with focus on order and quality. </w:t>
            </w:r>
          </w:p>
          <w:p w14:paraId="4180BA20" w14:textId="77777777" w:rsidR="00B14692" w:rsidRDefault="00B14692" w:rsidP="00E65381">
            <w:pPr>
              <w:pStyle w:val="NoSpacing"/>
              <w:jc w:val="both"/>
            </w:pPr>
            <w:r w:rsidRPr="006531BF">
              <w:t>Robust attention to detail and accuracy</w:t>
            </w:r>
            <w:r w:rsidR="006531BF">
              <w:t>.</w:t>
            </w:r>
          </w:p>
          <w:p w14:paraId="027135F8" w14:textId="77777777" w:rsidR="009A6395" w:rsidRDefault="006531BF" w:rsidP="00E65381">
            <w:pPr>
              <w:pStyle w:val="NoSpacing"/>
              <w:jc w:val="both"/>
            </w:pPr>
            <w:r>
              <w:t>Strong analytical and judgement skills.</w:t>
            </w:r>
          </w:p>
          <w:p w14:paraId="4C30247D" w14:textId="77777777" w:rsidR="009A6395" w:rsidRDefault="009A6395" w:rsidP="00E65381">
            <w:pPr>
              <w:pStyle w:val="NoSpacing"/>
              <w:jc w:val="both"/>
            </w:pPr>
            <w:r>
              <w:t xml:space="preserve">Effectively plans and prioritises work to deliver expectations, achieve high quality and strong performance. </w:t>
            </w:r>
          </w:p>
          <w:p w14:paraId="6DF4AE7E" w14:textId="77777777" w:rsidR="00595B1D" w:rsidRPr="003F388E" w:rsidRDefault="009A6395" w:rsidP="00E65381">
            <w:pPr>
              <w:pStyle w:val="NoSpacing"/>
              <w:jc w:val="both"/>
            </w:pPr>
            <w:r>
              <w:t>Responsive to changing demands.</w:t>
            </w:r>
          </w:p>
        </w:tc>
      </w:tr>
      <w:tr w:rsidR="00BD19A2" w:rsidRPr="003F388E" w14:paraId="5080D9CF" w14:textId="77777777" w:rsidTr="00777C5B">
        <w:trPr>
          <w:trHeight w:val="22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1CD7" w14:textId="77777777" w:rsidR="00BD19A2" w:rsidRPr="003F388E" w:rsidRDefault="00BD19A2">
            <w:pPr>
              <w:spacing w:before="60" w:after="40"/>
            </w:pPr>
            <w:r w:rsidRPr="003F388E">
              <w:t>Communication &amp; ICT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5459" w14:textId="7C7BFA1A" w:rsidR="006531BF" w:rsidRDefault="009A6395" w:rsidP="00E65381">
            <w:pPr>
              <w:pStyle w:val="NoSpacing"/>
              <w:jc w:val="both"/>
            </w:pPr>
            <w:r>
              <w:t xml:space="preserve">Displays confidence and professional rapport with internal and external </w:t>
            </w:r>
            <w:r w:rsidR="004E405C">
              <w:t>stakeholders.</w:t>
            </w:r>
          </w:p>
          <w:p w14:paraId="4FF0B811" w14:textId="77777777" w:rsidR="00A20595" w:rsidRDefault="00A20595" w:rsidP="00E65381">
            <w:pPr>
              <w:pStyle w:val="NoSpacing"/>
              <w:jc w:val="both"/>
            </w:pPr>
            <w:r>
              <w:t>Focussed, persistent and confident in pursuit of policy</w:t>
            </w:r>
            <w:r w:rsidR="008C6DDF">
              <w:t>, performance</w:t>
            </w:r>
            <w:r>
              <w:t xml:space="preserve"> </w:t>
            </w:r>
            <w:r w:rsidR="004E405C">
              <w:t xml:space="preserve">and compliance </w:t>
            </w:r>
            <w:r>
              <w:t>objectives.</w:t>
            </w:r>
          </w:p>
          <w:p w14:paraId="60D246EE" w14:textId="4D8A7145" w:rsidR="006531BF" w:rsidRDefault="009A41C9" w:rsidP="00E65381">
            <w:pPr>
              <w:pStyle w:val="NoSpacing"/>
              <w:jc w:val="both"/>
            </w:pPr>
            <w:r>
              <w:t xml:space="preserve">Excellent </w:t>
            </w:r>
            <w:r w:rsidR="00B14692">
              <w:t>c</w:t>
            </w:r>
            <w:r w:rsidR="009A6395">
              <w:t>ommunication, language</w:t>
            </w:r>
            <w:r w:rsidR="001F1CB4">
              <w:t>,</w:t>
            </w:r>
            <w:r w:rsidR="009A6395">
              <w:t xml:space="preserve"> letter writing</w:t>
            </w:r>
            <w:r w:rsidR="001F1CB4">
              <w:t xml:space="preserve"> and presentation</w:t>
            </w:r>
            <w:r w:rsidR="009A6395">
              <w:t xml:space="preserve"> skills.   </w:t>
            </w:r>
          </w:p>
          <w:p w14:paraId="7DF801BB" w14:textId="77777777" w:rsidR="009A6395" w:rsidRDefault="009A6395" w:rsidP="00E65381">
            <w:pPr>
              <w:pStyle w:val="NoSpacing"/>
              <w:jc w:val="both"/>
            </w:pPr>
            <w:r>
              <w:t>Effective contribution and input to reports, newsletters and corporate publications.</w:t>
            </w:r>
          </w:p>
          <w:p w14:paraId="2E676B01" w14:textId="7DEC8DAC" w:rsidR="00BD19A2" w:rsidRPr="003F388E" w:rsidRDefault="00B438BD" w:rsidP="00E65381">
            <w:pPr>
              <w:pStyle w:val="NoSpacing"/>
              <w:jc w:val="both"/>
            </w:pPr>
            <w:r>
              <w:t>Strong</w:t>
            </w:r>
            <w:r w:rsidR="009A6395">
              <w:t xml:space="preserve"> ICT skills: </w:t>
            </w:r>
            <w:r w:rsidR="006141B5">
              <w:t xml:space="preserve">Particularly Excel, </w:t>
            </w:r>
            <w:r w:rsidR="009A6395">
              <w:t>Outlook, Word, PowerPoint</w:t>
            </w:r>
            <w:r w:rsidR="004E405C">
              <w:t>; familiar with publisher software</w:t>
            </w:r>
          </w:p>
        </w:tc>
      </w:tr>
      <w:tr w:rsidR="00BD19A2" w:rsidRPr="003F388E" w14:paraId="1177A918" w14:textId="77777777" w:rsidTr="00777C5B">
        <w:trPr>
          <w:trHeight w:val="30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A8DF" w14:textId="3A2DCFB6" w:rsidR="00BD19A2" w:rsidRPr="003F388E" w:rsidRDefault="00BD19A2">
            <w:pPr>
              <w:spacing w:before="60" w:after="40"/>
            </w:pPr>
            <w:r w:rsidRPr="003F388E">
              <w:t>Vision &amp; values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6893" w14:textId="6CA3A52D" w:rsidR="00BD19A2" w:rsidRPr="003F388E" w:rsidRDefault="009A6395" w:rsidP="003822FC">
            <w:pPr>
              <w:pStyle w:val="NoSpacing"/>
              <w:jc w:val="both"/>
            </w:pPr>
            <w:r w:rsidRPr="009A6395">
              <w:t xml:space="preserve">Embraces and promotes GWHA’s Code Of Conduct and values: </w:t>
            </w:r>
            <w:r w:rsidR="009A41C9">
              <w:t xml:space="preserve">Inclusive, Considerate, Accountable, Resourceful, Ethical; </w:t>
            </w:r>
            <w:r w:rsidRPr="009A6395">
              <w:t>promoting equality, value, diversity and sustainability</w:t>
            </w:r>
          </w:p>
        </w:tc>
      </w:tr>
    </w:tbl>
    <w:p w14:paraId="369EC174" w14:textId="77777777" w:rsidR="006F3A78" w:rsidRPr="003F388E" w:rsidRDefault="006F3A78" w:rsidP="003F388E"/>
    <w:sectPr w:rsidR="006F3A78" w:rsidRPr="003F388E" w:rsidSect="00B77DA6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D6E6F" w14:textId="77777777" w:rsidR="00393709" w:rsidRDefault="00393709" w:rsidP="00393709">
      <w:r>
        <w:separator/>
      </w:r>
    </w:p>
  </w:endnote>
  <w:endnote w:type="continuationSeparator" w:id="0">
    <w:p w14:paraId="07C6BF12" w14:textId="77777777" w:rsidR="00393709" w:rsidRDefault="00393709" w:rsidP="0039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46A22" w14:textId="77777777" w:rsidR="00393709" w:rsidRDefault="00393709" w:rsidP="00393709">
      <w:r>
        <w:separator/>
      </w:r>
    </w:p>
  </w:footnote>
  <w:footnote w:type="continuationSeparator" w:id="0">
    <w:p w14:paraId="3F10FD07" w14:textId="77777777" w:rsidR="00393709" w:rsidRDefault="00393709" w:rsidP="00393709">
      <w:r>
        <w:continuationSeparator/>
      </w:r>
    </w:p>
  </w:footnote>
  <w:footnote w:id="1">
    <w:p w14:paraId="5C236441" w14:textId="51FFD94F" w:rsidR="00393709" w:rsidRDefault="00393709">
      <w:pPr>
        <w:pStyle w:val="FootnoteText"/>
      </w:pPr>
      <w:r>
        <w:rPr>
          <w:rStyle w:val="FootnoteReference"/>
        </w:rPr>
        <w:footnoteRef/>
      </w:r>
      <w:r>
        <w:t xml:space="preserve"> Equality Impact Assessments</w:t>
      </w:r>
    </w:p>
  </w:footnote>
  <w:footnote w:id="2">
    <w:p w14:paraId="4C778C77" w14:textId="4A874099" w:rsidR="00393709" w:rsidRDefault="00393709">
      <w:pPr>
        <w:pStyle w:val="FootnoteText"/>
      </w:pPr>
      <w:r>
        <w:rPr>
          <w:rStyle w:val="FootnoteReference"/>
        </w:rPr>
        <w:footnoteRef/>
      </w:r>
      <w:r>
        <w:t xml:space="preserve"> General Data Protection Regulations</w:t>
      </w:r>
    </w:p>
  </w:footnote>
  <w:footnote w:id="3">
    <w:p w14:paraId="65FAA1B0" w14:textId="5FB02DF7" w:rsidR="00393709" w:rsidRDefault="00393709">
      <w:pPr>
        <w:pStyle w:val="FootnoteText"/>
      </w:pPr>
      <w:r>
        <w:rPr>
          <w:rStyle w:val="FootnoteReference"/>
        </w:rPr>
        <w:footnoteRef/>
      </w:r>
      <w:r>
        <w:t xml:space="preserve"> Freedom of Information</w:t>
      </w:r>
    </w:p>
  </w:footnote>
  <w:footnote w:id="4">
    <w:p w14:paraId="2CA80207" w14:textId="0C0551DF" w:rsidR="00393709" w:rsidRDefault="00393709">
      <w:pPr>
        <w:pStyle w:val="FootnoteText"/>
      </w:pPr>
      <w:r>
        <w:rPr>
          <w:rStyle w:val="FootnoteReference"/>
        </w:rPr>
        <w:footnoteRef/>
      </w:r>
      <w:r>
        <w:t xml:space="preserve"> Annual Return on the Charter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308B"/>
    <w:multiLevelType w:val="hybridMultilevel"/>
    <w:tmpl w:val="195AD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44BF7"/>
    <w:multiLevelType w:val="hybridMultilevel"/>
    <w:tmpl w:val="61D81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62F34"/>
    <w:multiLevelType w:val="multilevel"/>
    <w:tmpl w:val="E8B6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85772"/>
    <w:multiLevelType w:val="hybridMultilevel"/>
    <w:tmpl w:val="84F8B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02864"/>
    <w:multiLevelType w:val="hybridMultilevel"/>
    <w:tmpl w:val="9F808A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808CF"/>
    <w:multiLevelType w:val="hybridMultilevel"/>
    <w:tmpl w:val="3ABEE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C6324"/>
    <w:multiLevelType w:val="hybridMultilevel"/>
    <w:tmpl w:val="395E1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687706">
    <w:abstractNumId w:val="1"/>
  </w:num>
  <w:num w:numId="2" w16cid:durableId="1684503782">
    <w:abstractNumId w:val="4"/>
  </w:num>
  <w:num w:numId="3" w16cid:durableId="680358740">
    <w:abstractNumId w:val="2"/>
  </w:num>
  <w:num w:numId="4" w16cid:durableId="1783378928">
    <w:abstractNumId w:val="3"/>
  </w:num>
  <w:num w:numId="5" w16cid:durableId="502087820">
    <w:abstractNumId w:val="0"/>
  </w:num>
  <w:num w:numId="6" w16cid:durableId="1356811429">
    <w:abstractNumId w:val="5"/>
  </w:num>
  <w:num w:numId="7" w16cid:durableId="1835488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A2"/>
    <w:rsid w:val="00023991"/>
    <w:rsid w:val="00052E7C"/>
    <w:rsid w:val="00086557"/>
    <w:rsid w:val="000900C3"/>
    <w:rsid w:val="000A33E2"/>
    <w:rsid w:val="000B28EB"/>
    <w:rsid w:val="000C44F4"/>
    <w:rsid w:val="000C6CCE"/>
    <w:rsid w:val="000E6E6C"/>
    <w:rsid w:val="0011015B"/>
    <w:rsid w:val="00111CA6"/>
    <w:rsid w:val="001120E9"/>
    <w:rsid w:val="001126A9"/>
    <w:rsid w:val="0011281D"/>
    <w:rsid w:val="001134AD"/>
    <w:rsid w:val="001A620B"/>
    <w:rsid w:val="001F1CB4"/>
    <w:rsid w:val="00224966"/>
    <w:rsid w:val="00261B21"/>
    <w:rsid w:val="002D2148"/>
    <w:rsid w:val="002E6B22"/>
    <w:rsid w:val="002F4D49"/>
    <w:rsid w:val="0033103C"/>
    <w:rsid w:val="003748AA"/>
    <w:rsid w:val="003822FC"/>
    <w:rsid w:val="00393709"/>
    <w:rsid w:val="003A10DA"/>
    <w:rsid w:val="003B1398"/>
    <w:rsid w:val="003F388E"/>
    <w:rsid w:val="00406767"/>
    <w:rsid w:val="00467454"/>
    <w:rsid w:val="00470C89"/>
    <w:rsid w:val="00481F1B"/>
    <w:rsid w:val="00485C34"/>
    <w:rsid w:val="004B2749"/>
    <w:rsid w:val="004B3678"/>
    <w:rsid w:val="004B4977"/>
    <w:rsid w:val="004C126C"/>
    <w:rsid w:val="004E405C"/>
    <w:rsid w:val="004F7835"/>
    <w:rsid w:val="005077B9"/>
    <w:rsid w:val="005349BC"/>
    <w:rsid w:val="00542ED1"/>
    <w:rsid w:val="00544F09"/>
    <w:rsid w:val="00550776"/>
    <w:rsid w:val="00561D47"/>
    <w:rsid w:val="005652B8"/>
    <w:rsid w:val="00595B1D"/>
    <w:rsid w:val="005A2F7F"/>
    <w:rsid w:val="005B6DDA"/>
    <w:rsid w:val="005D1686"/>
    <w:rsid w:val="005D429B"/>
    <w:rsid w:val="00603129"/>
    <w:rsid w:val="00611CE7"/>
    <w:rsid w:val="006141B5"/>
    <w:rsid w:val="00624E93"/>
    <w:rsid w:val="006531BF"/>
    <w:rsid w:val="00655335"/>
    <w:rsid w:val="00662D81"/>
    <w:rsid w:val="00663C0C"/>
    <w:rsid w:val="006731A9"/>
    <w:rsid w:val="006925A6"/>
    <w:rsid w:val="00694238"/>
    <w:rsid w:val="006B5E49"/>
    <w:rsid w:val="006B62BC"/>
    <w:rsid w:val="006C3630"/>
    <w:rsid w:val="006D61D8"/>
    <w:rsid w:val="006D68FB"/>
    <w:rsid w:val="006F3A78"/>
    <w:rsid w:val="007229E0"/>
    <w:rsid w:val="00731632"/>
    <w:rsid w:val="00737541"/>
    <w:rsid w:val="00776AFD"/>
    <w:rsid w:val="00777C5B"/>
    <w:rsid w:val="007E62E3"/>
    <w:rsid w:val="00802DCC"/>
    <w:rsid w:val="00806096"/>
    <w:rsid w:val="00827A13"/>
    <w:rsid w:val="008322C9"/>
    <w:rsid w:val="008447AE"/>
    <w:rsid w:val="008552F6"/>
    <w:rsid w:val="00862512"/>
    <w:rsid w:val="00885F24"/>
    <w:rsid w:val="008A2550"/>
    <w:rsid w:val="008B4368"/>
    <w:rsid w:val="008B44E9"/>
    <w:rsid w:val="008C23CD"/>
    <w:rsid w:val="008C6DDF"/>
    <w:rsid w:val="008D52EB"/>
    <w:rsid w:val="008F556B"/>
    <w:rsid w:val="008F668A"/>
    <w:rsid w:val="00916C76"/>
    <w:rsid w:val="009449B1"/>
    <w:rsid w:val="00947CC8"/>
    <w:rsid w:val="00980003"/>
    <w:rsid w:val="009A41C9"/>
    <w:rsid w:val="009A6395"/>
    <w:rsid w:val="009B69CA"/>
    <w:rsid w:val="009F7EA4"/>
    <w:rsid w:val="00A16A48"/>
    <w:rsid w:val="00A20595"/>
    <w:rsid w:val="00A71F78"/>
    <w:rsid w:val="00A800EA"/>
    <w:rsid w:val="00A878C4"/>
    <w:rsid w:val="00A974BE"/>
    <w:rsid w:val="00B0218B"/>
    <w:rsid w:val="00B14692"/>
    <w:rsid w:val="00B438BD"/>
    <w:rsid w:val="00B77DA6"/>
    <w:rsid w:val="00BA164A"/>
    <w:rsid w:val="00BA54BD"/>
    <w:rsid w:val="00BD19A2"/>
    <w:rsid w:val="00BE7C2F"/>
    <w:rsid w:val="00BF62F0"/>
    <w:rsid w:val="00C21722"/>
    <w:rsid w:val="00C378A3"/>
    <w:rsid w:val="00C963CD"/>
    <w:rsid w:val="00CA06BA"/>
    <w:rsid w:val="00CA67C6"/>
    <w:rsid w:val="00CA6F6A"/>
    <w:rsid w:val="00CB5B74"/>
    <w:rsid w:val="00CC0714"/>
    <w:rsid w:val="00CC7147"/>
    <w:rsid w:val="00D60EDE"/>
    <w:rsid w:val="00DD256E"/>
    <w:rsid w:val="00DD5DE3"/>
    <w:rsid w:val="00E02517"/>
    <w:rsid w:val="00E13B18"/>
    <w:rsid w:val="00E15641"/>
    <w:rsid w:val="00E17E29"/>
    <w:rsid w:val="00E23EF5"/>
    <w:rsid w:val="00E36F62"/>
    <w:rsid w:val="00E50766"/>
    <w:rsid w:val="00E55EDB"/>
    <w:rsid w:val="00E65381"/>
    <w:rsid w:val="00E86638"/>
    <w:rsid w:val="00E95DA9"/>
    <w:rsid w:val="00E97CBF"/>
    <w:rsid w:val="00EA1201"/>
    <w:rsid w:val="00EA6D71"/>
    <w:rsid w:val="00EE0563"/>
    <w:rsid w:val="00EE547A"/>
    <w:rsid w:val="00EF6E68"/>
    <w:rsid w:val="00F26CD5"/>
    <w:rsid w:val="00F3599A"/>
    <w:rsid w:val="00F40402"/>
    <w:rsid w:val="00F71A53"/>
    <w:rsid w:val="00F7645A"/>
    <w:rsid w:val="00F84261"/>
    <w:rsid w:val="00F9053A"/>
    <w:rsid w:val="00FA0C5E"/>
    <w:rsid w:val="00FA545C"/>
    <w:rsid w:val="00FB62DD"/>
    <w:rsid w:val="00FC4F7E"/>
    <w:rsid w:val="00FD011B"/>
    <w:rsid w:val="00FD1439"/>
    <w:rsid w:val="00FD555D"/>
    <w:rsid w:val="00FD76EC"/>
    <w:rsid w:val="00FE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D7A6"/>
  <w15:docId w15:val="{F99FC8C6-42BA-4FCB-806D-90ED1E8A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9A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19A2"/>
    <w:pPr>
      <w:keepNext/>
      <w:ind w:left="37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19A2"/>
    <w:rPr>
      <w:rFonts w:ascii="Arial Narrow" w:eastAsia="Times New Roman" w:hAnsi="Arial Narrow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BD19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D19A2"/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1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7C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748AA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3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3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3E2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3E2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1F78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663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66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37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709"/>
    <w:rPr>
      <w:rFonts w:ascii="Arial Narrow" w:eastAsia="Times New Roman" w:hAnsi="Arial Narrow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37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03456-5AEB-4403-8FEB-5B99CDB9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West HA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Iain Nicholl</cp:lastModifiedBy>
  <cp:revision>17</cp:revision>
  <cp:lastPrinted>2010-01-29T10:33:00Z</cp:lastPrinted>
  <dcterms:created xsi:type="dcterms:W3CDTF">2023-07-04T13:07:00Z</dcterms:created>
  <dcterms:modified xsi:type="dcterms:W3CDTF">2024-12-10T13:31:00Z</dcterms:modified>
</cp:coreProperties>
</file>