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center" w:tblpY="-152"/>
        <w:tblW w:w="10875"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0A0" w:firstRow="1" w:lastRow="0" w:firstColumn="1" w:lastColumn="0" w:noHBand="0" w:noVBand="0"/>
      </w:tblPr>
      <w:tblGrid>
        <w:gridCol w:w="1811"/>
        <w:gridCol w:w="3478"/>
        <w:gridCol w:w="2159"/>
        <w:gridCol w:w="3427"/>
      </w:tblGrid>
      <w:tr w:rsidR="00BD19A2" w:rsidRPr="003F388E" w14:paraId="3200513E" w14:textId="77777777" w:rsidTr="00502133">
        <w:tc>
          <w:tcPr>
            <w:tcW w:w="10875" w:type="dxa"/>
            <w:gridSpan w:val="4"/>
            <w:tcBorders>
              <w:top w:val="single" w:sz="4" w:space="0" w:color="auto"/>
              <w:left w:val="single" w:sz="4" w:space="0" w:color="auto"/>
              <w:bottom w:val="single" w:sz="4" w:space="0" w:color="auto"/>
              <w:right w:val="single" w:sz="4" w:space="0" w:color="auto"/>
            </w:tcBorders>
            <w:vAlign w:val="center"/>
            <w:hideMark/>
          </w:tcPr>
          <w:p w14:paraId="165E12B4" w14:textId="77777777" w:rsidR="00BD19A2" w:rsidRPr="003F388E" w:rsidRDefault="00BD19A2" w:rsidP="00502133">
            <w:pPr>
              <w:keepNext/>
              <w:keepLines/>
              <w:spacing w:before="80" w:after="80"/>
              <w:jc w:val="center"/>
              <w:rPr>
                <w:sz w:val="28"/>
                <w:szCs w:val="28"/>
              </w:rPr>
            </w:pPr>
            <w:r w:rsidRPr="003F388E">
              <w:rPr>
                <w:b/>
                <w:sz w:val="28"/>
                <w:szCs w:val="28"/>
              </w:rPr>
              <w:t>GWHA: ROLE PROFILE</w:t>
            </w:r>
          </w:p>
        </w:tc>
      </w:tr>
      <w:tr w:rsidR="00BD19A2" w:rsidRPr="003F388E" w14:paraId="0559C799" w14:textId="77777777" w:rsidTr="00502133">
        <w:tc>
          <w:tcPr>
            <w:tcW w:w="1811" w:type="dxa"/>
            <w:tcBorders>
              <w:top w:val="single" w:sz="4" w:space="0" w:color="auto"/>
              <w:left w:val="single" w:sz="4" w:space="0" w:color="auto"/>
              <w:bottom w:val="single" w:sz="4" w:space="0" w:color="auto"/>
              <w:right w:val="nil"/>
            </w:tcBorders>
            <w:vAlign w:val="center"/>
            <w:hideMark/>
          </w:tcPr>
          <w:p w14:paraId="513986CC" w14:textId="77777777" w:rsidR="00BD19A2" w:rsidRPr="003F388E" w:rsidRDefault="00BD19A2" w:rsidP="00502133">
            <w:pPr>
              <w:keepNext/>
              <w:keepLines/>
              <w:spacing w:before="80" w:after="80"/>
              <w:rPr>
                <w:b/>
              </w:rPr>
            </w:pPr>
            <w:r w:rsidRPr="003F388E">
              <w:rPr>
                <w:b/>
              </w:rPr>
              <w:t>JOB TITLE</w:t>
            </w:r>
          </w:p>
        </w:tc>
        <w:tc>
          <w:tcPr>
            <w:tcW w:w="3478" w:type="dxa"/>
            <w:tcBorders>
              <w:top w:val="single" w:sz="4" w:space="0" w:color="auto"/>
              <w:left w:val="nil"/>
              <w:bottom w:val="single" w:sz="4" w:space="0" w:color="auto"/>
              <w:right w:val="nil"/>
            </w:tcBorders>
            <w:vAlign w:val="center"/>
            <w:hideMark/>
          </w:tcPr>
          <w:p w14:paraId="26F520B2" w14:textId="68D991FC" w:rsidR="00BD19A2" w:rsidRPr="003F388E" w:rsidRDefault="00DB467E" w:rsidP="00A94F09">
            <w:pPr>
              <w:keepNext/>
              <w:keepLines/>
              <w:spacing w:before="80" w:after="80"/>
            </w:pPr>
            <w:r>
              <w:t>Faciliti</w:t>
            </w:r>
            <w:r w:rsidR="00F5582F">
              <w:t>es</w:t>
            </w:r>
            <w:r w:rsidR="00246952">
              <w:t xml:space="preserve"> Co-ordinator</w:t>
            </w:r>
            <w:r w:rsidR="00A94F09">
              <w:t xml:space="preserve"> </w:t>
            </w:r>
          </w:p>
        </w:tc>
        <w:tc>
          <w:tcPr>
            <w:tcW w:w="2159" w:type="dxa"/>
            <w:tcBorders>
              <w:top w:val="single" w:sz="4" w:space="0" w:color="auto"/>
              <w:left w:val="nil"/>
              <w:bottom w:val="single" w:sz="4" w:space="0" w:color="auto"/>
              <w:right w:val="single" w:sz="4" w:space="0" w:color="auto"/>
            </w:tcBorders>
            <w:vAlign w:val="center"/>
            <w:hideMark/>
          </w:tcPr>
          <w:p w14:paraId="24F40550" w14:textId="77777777" w:rsidR="00BD19A2" w:rsidRPr="003F388E" w:rsidRDefault="00BD19A2" w:rsidP="00502133">
            <w:pPr>
              <w:keepNext/>
              <w:keepLines/>
              <w:spacing w:before="80" w:after="80"/>
              <w:rPr>
                <w:b/>
                <w:color w:val="FFFFFF"/>
              </w:rPr>
            </w:pPr>
            <w:r w:rsidRPr="003F388E">
              <w:rPr>
                <w:b/>
              </w:rPr>
              <w:t>GRADE</w:t>
            </w:r>
          </w:p>
        </w:tc>
        <w:tc>
          <w:tcPr>
            <w:tcW w:w="3427" w:type="dxa"/>
            <w:tcBorders>
              <w:top w:val="single" w:sz="4" w:space="0" w:color="auto"/>
              <w:left w:val="single" w:sz="4" w:space="0" w:color="auto"/>
              <w:bottom w:val="single" w:sz="4" w:space="0" w:color="auto"/>
              <w:right w:val="single" w:sz="4" w:space="0" w:color="auto"/>
            </w:tcBorders>
            <w:vAlign w:val="center"/>
            <w:hideMark/>
          </w:tcPr>
          <w:p w14:paraId="407C8DD4" w14:textId="77777777" w:rsidR="00BD19A2" w:rsidRPr="003F388E" w:rsidRDefault="00C87375" w:rsidP="00246952">
            <w:pPr>
              <w:keepNext/>
              <w:keepLines/>
              <w:spacing w:before="80" w:after="80"/>
            </w:pPr>
            <w:r w:rsidRPr="00BC5D87">
              <w:t xml:space="preserve">EVH Grade </w:t>
            </w:r>
            <w:r w:rsidR="00246952">
              <w:t>7</w:t>
            </w:r>
          </w:p>
        </w:tc>
      </w:tr>
      <w:tr w:rsidR="00BD19A2" w:rsidRPr="003F388E" w14:paraId="3F38E80E" w14:textId="77777777" w:rsidTr="00502133">
        <w:trPr>
          <w:trHeight w:val="436"/>
        </w:trPr>
        <w:tc>
          <w:tcPr>
            <w:tcW w:w="1811" w:type="dxa"/>
            <w:tcBorders>
              <w:top w:val="single" w:sz="4" w:space="0" w:color="auto"/>
              <w:left w:val="single" w:sz="4" w:space="0" w:color="auto"/>
              <w:bottom w:val="single" w:sz="4" w:space="0" w:color="auto"/>
              <w:right w:val="nil"/>
            </w:tcBorders>
            <w:vAlign w:val="center"/>
            <w:hideMark/>
          </w:tcPr>
          <w:p w14:paraId="604AFA4B" w14:textId="77777777" w:rsidR="00BD19A2" w:rsidRPr="003F388E" w:rsidRDefault="00BD19A2" w:rsidP="00502133">
            <w:pPr>
              <w:keepNext/>
              <w:keepLines/>
              <w:spacing w:before="80" w:after="80"/>
              <w:rPr>
                <w:b/>
              </w:rPr>
            </w:pPr>
            <w:r w:rsidRPr="003F388E">
              <w:rPr>
                <w:b/>
              </w:rPr>
              <w:t>REPORT TO</w:t>
            </w:r>
          </w:p>
        </w:tc>
        <w:tc>
          <w:tcPr>
            <w:tcW w:w="3478" w:type="dxa"/>
            <w:tcBorders>
              <w:top w:val="single" w:sz="4" w:space="0" w:color="auto"/>
              <w:left w:val="nil"/>
              <w:bottom w:val="single" w:sz="4" w:space="0" w:color="auto"/>
              <w:right w:val="nil"/>
            </w:tcBorders>
            <w:vAlign w:val="center"/>
            <w:hideMark/>
          </w:tcPr>
          <w:p w14:paraId="3770F48D" w14:textId="42D08CFB" w:rsidR="00BD19A2" w:rsidRPr="003F388E" w:rsidRDefault="00DB467E" w:rsidP="0063151D">
            <w:pPr>
              <w:keepNext/>
              <w:keepLines/>
              <w:spacing w:before="80" w:after="80"/>
            </w:pPr>
            <w:r>
              <w:t xml:space="preserve">Estates &amp; Factoring Manager </w:t>
            </w:r>
          </w:p>
        </w:tc>
        <w:tc>
          <w:tcPr>
            <w:tcW w:w="2159" w:type="dxa"/>
            <w:tcBorders>
              <w:top w:val="single" w:sz="4" w:space="0" w:color="auto"/>
              <w:left w:val="nil"/>
              <w:bottom w:val="single" w:sz="4" w:space="0" w:color="auto"/>
              <w:right w:val="single" w:sz="4" w:space="0" w:color="auto"/>
            </w:tcBorders>
            <w:vAlign w:val="center"/>
            <w:hideMark/>
          </w:tcPr>
          <w:p w14:paraId="03628EE2" w14:textId="77777777" w:rsidR="00BD19A2" w:rsidRPr="003F388E" w:rsidRDefault="00BD19A2" w:rsidP="00502133">
            <w:pPr>
              <w:keepNext/>
              <w:keepLines/>
              <w:spacing w:before="80" w:after="80"/>
              <w:rPr>
                <w:b/>
              </w:rPr>
            </w:pPr>
            <w:r w:rsidRPr="003F388E">
              <w:rPr>
                <w:b/>
              </w:rPr>
              <w:t>DATE COMPLETED</w:t>
            </w:r>
          </w:p>
        </w:tc>
        <w:tc>
          <w:tcPr>
            <w:tcW w:w="3427" w:type="dxa"/>
            <w:tcBorders>
              <w:top w:val="single" w:sz="4" w:space="0" w:color="auto"/>
              <w:left w:val="single" w:sz="4" w:space="0" w:color="auto"/>
              <w:bottom w:val="single" w:sz="4" w:space="0" w:color="auto"/>
              <w:right w:val="single" w:sz="4" w:space="0" w:color="auto"/>
            </w:tcBorders>
            <w:vAlign w:val="center"/>
            <w:hideMark/>
          </w:tcPr>
          <w:p w14:paraId="7710166A" w14:textId="5F78503B" w:rsidR="00BD19A2" w:rsidRPr="003F388E" w:rsidRDefault="00B46908" w:rsidP="0063151D">
            <w:pPr>
              <w:keepNext/>
              <w:keepLines/>
              <w:spacing w:before="80" w:after="80"/>
            </w:pPr>
            <w:r>
              <w:t>June 202</w:t>
            </w:r>
            <w:r w:rsidR="00EB7E19">
              <w:t>4</w:t>
            </w:r>
          </w:p>
        </w:tc>
      </w:tr>
      <w:tr w:rsidR="00BD19A2" w:rsidRPr="003F388E" w14:paraId="2ECBBFA6" w14:textId="77777777" w:rsidTr="00502133">
        <w:trPr>
          <w:trHeight w:val="1830"/>
        </w:trPr>
        <w:tc>
          <w:tcPr>
            <w:tcW w:w="10875" w:type="dxa"/>
            <w:gridSpan w:val="4"/>
            <w:tcBorders>
              <w:top w:val="nil"/>
              <w:left w:val="single" w:sz="4" w:space="0" w:color="auto"/>
              <w:bottom w:val="single" w:sz="4" w:space="0" w:color="auto"/>
              <w:right w:val="single" w:sz="4" w:space="0" w:color="auto"/>
            </w:tcBorders>
            <w:hideMark/>
          </w:tcPr>
          <w:p w14:paraId="052B2B32" w14:textId="77777777" w:rsidR="00BD19A2" w:rsidRPr="003F388E" w:rsidRDefault="00BD19A2" w:rsidP="00502133">
            <w:r w:rsidRPr="003F388E">
              <w:rPr>
                <w:b/>
              </w:rPr>
              <w:t>CORE RESPONSIBILITIES</w:t>
            </w:r>
            <w:r w:rsidRPr="003F388E">
              <w:t xml:space="preserve"> </w:t>
            </w:r>
          </w:p>
          <w:p w14:paraId="6424C2ED" w14:textId="652E4F1D" w:rsidR="00FD1439" w:rsidRDefault="00BC5D87" w:rsidP="00E26E57">
            <w:r w:rsidRPr="00BC5D87">
              <w:t xml:space="preserve">Commitment to enhanced customer service through the provision of quality advice, information and support to residents and the community. </w:t>
            </w:r>
            <w:r w:rsidR="00734D57">
              <w:t xml:space="preserve"> Responsibility for</w:t>
            </w:r>
            <w:r w:rsidRPr="00BC5D87">
              <w:t xml:space="preserve"> mentoring and coaching of Team Members</w:t>
            </w:r>
            <w:r w:rsidR="008579D2">
              <w:t>, fostering a positive team culture that ensures successful delivery and achievement of</w:t>
            </w:r>
            <w:r w:rsidR="00A5047D">
              <w:t xml:space="preserve"> strategy,</w:t>
            </w:r>
            <w:r w:rsidR="008579D2">
              <w:t xml:space="preserve"> operational and performance standards</w:t>
            </w:r>
            <w:r w:rsidR="00E3578B">
              <w:t xml:space="preserve"> including regular working pattern crossover with 24</w:t>
            </w:r>
            <w:r w:rsidR="0017050D">
              <w:t>/7</w:t>
            </w:r>
            <w:r w:rsidR="00E3578B">
              <w:t xml:space="preserve">hr concierge team. </w:t>
            </w:r>
            <w:r w:rsidR="008579D2">
              <w:t xml:space="preserve"> </w:t>
            </w:r>
            <w:r w:rsidR="00734D57">
              <w:t>Responsibility for d</w:t>
            </w:r>
            <w:r w:rsidRPr="00BC5D87">
              <w:t>eveloping and maintaining comprehensive and accurate records, reporting and administrative systems</w:t>
            </w:r>
            <w:r w:rsidR="00734D57">
              <w:t xml:space="preserve"> to reflect best practice</w:t>
            </w:r>
            <w:r w:rsidRPr="00BC5D87">
              <w:t>.</w:t>
            </w:r>
            <w:r w:rsidR="00E3578B">
              <w:t xml:space="preserve"> </w:t>
            </w:r>
            <w:r w:rsidRPr="00BC5D87">
              <w:t>Contributing to the development of strategy, policy and corporate documents. R</w:t>
            </w:r>
            <w:r w:rsidR="008579D2">
              <w:t>outinely r</w:t>
            </w:r>
            <w:r w:rsidRPr="00BC5D87">
              <w:t xml:space="preserve">eporting to the </w:t>
            </w:r>
            <w:r w:rsidR="00DB467E">
              <w:t xml:space="preserve">Estates &amp; Factoring </w:t>
            </w:r>
            <w:r w:rsidRPr="00BC5D87">
              <w:t>Manager, with</w:t>
            </w:r>
            <w:r w:rsidR="008579D2">
              <w:t xml:space="preserve"> overall</w:t>
            </w:r>
            <w:r w:rsidRPr="00BC5D87">
              <w:t xml:space="preserve"> responsibility to the </w:t>
            </w:r>
            <w:r w:rsidR="0063151D">
              <w:t xml:space="preserve">Technical </w:t>
            </w:r>
            <w:r w:rsidR="00B62F45">
              <w:t>Director</w:t>
            </w:r>
            <w:r w:rsidR="008579D2">
              <w:t>. A</w:t>
            </w:r>
            <w:r w:rsidRPr="00BC5D87">
              <w:t xml:space="preserve">ccountability through the </w:t>
            </w:r>
            <w:r w:rsidR="000B2070">
              <w:t>Chief Exec</w:t>
            </w:r>
            <w:r w:rsidR="00656C37">
              <w:t>utive</w:t>
            </w:r>
            <w:r w:rsidR="000B2070">
              <w:t xml:space="preserve"> </w:t>
            </w:r>
            <w:r w:rsidRPr="00BC5D87">
              <w:t>to the Management Committee.</w:t>
            </w:r>
          </w:p>
          <w:p w14:paraId="7156ECEA" w14:textId="77777777" w:rsidR="00823B7E" w:rsidRPr="003F388E" w:rsidRDefault="00823B7E" w:rsidP="00E26E57"/>
        </w:tc>
      </w:tr>
      <w:tr w:rsidR="00502133" w:rsidRPr="003F388E" w14:paraId="44113C35" w14:textId="77777777" w:rsidTr="00502133">
        <w:trPr>
          <w:trHeight w:val="1304"/>
        </w:trPr>
        <w:tc>
          <w:tcPr>
            <w:tcW w:w="10875" w:type="dxa"/>
            <w:gridSpan w:val="4"/>
            <w:tcBorders>
              <w:top w:val="single" w:sz="4" w:space="0" w:color="auto"/>
              <w:left w:val="single" w:sz="4" w:space="0" w:color="auto"/>
              <w:bottom w:val="single" w:sz="4" w:space="0" w:color="auto"/>
              <w:right w:val="single" w:sz="4" w:space="0" w:color="auto"/>
            </w:tcBorders>
          </w:tcPr>
          <w:p w14:paraId="04A49C74" w14:textId="77777777" w:rsidR="00502133" w:rsidRPr="00107B26" w:rsidRDefault="00502133" w:rsidP="00502133">
            <w:pPr>
              <w:rPr>
                <w:b/>
              </w:rPr>
            </w:pPr>
            <w:r w:rsidRPr="00107B26">
              <w:rPr>
                <w:b/>
              </w:rPr>
              <w:t>KEY TASKS</w:t>
            </w:r>
            <w:r w:rsidR="00BA1466">
              <w:rPr>
                <w:b/>
              </w:rPr>
              <w:t>: ESTATE SERVICES</w:t>
            </w:r>
          </w:p>
          <w:p w14:paraId="3A12C9EF" w14:textId="742BD5BF" w:rsidR="00A27ED9" w:rsidRDefault="00A27ED9" w:rsidP="00BE7FC0">
            <w:pPr>
              <w:pStyle w:val="ListParagraph"/>
              <w:numPr>
                <w:ilvl w:val="0"/>
                <w:numId w:val="3"/>
              </w:numPr>
              <w:ind w:left="447"/>
            </w:pPr>
            <w:r>
              <w:t xml:space="preserve">Supporting and mentoring </w:t>
            </w:r>
            <w:r w:rsidR="0063151D">
              <w:t>of C</w:t>
            </w:r>
            <w:r w:rsidR="0019436C">
              <w:t xml:space="preserve">oncierge </w:t>
            </w:r>
            <w:r w:rsidR="00E26E57">
              <w:t xml:space="preserve">and Estates </w:t>
            </w:r>
            <w:r w:rsidR="0063151D">
              <w:t>Services T</w:t>
            </w:r>
            <w:r w:rsidR="0019436C">
              <w:t xml:space="preserve">eam </w:t>
            </w:r>
            <w:r>
              <w:t>through regular planning and support measures.</w:t>
            </w:r>
          </w:p>
          <w:p w14:paraId="7DD9ADB6" w14:textId="77777777" w:rsidR="00246952" w:rsidRDefault="00246952" w:rsidP="00BE7FC0">
            <w:pPr>
              <w:pStyle w:val="ListParagraph"/>
              <w:numPr>
                <w:ilvl w:val="0"/>
                <w:numId w:val="3"/>
              </w:numPr>
              <w:ind w:left="447"/>
            </w:pPr>
            <w:r>
              <w:t>Development and delivery of Team Plans</w:t>
            </w:r>
            <w:r w:rsidR="00E171A8">
              <w:t xml:space="preserve"> and performance indicators</w:t>
            </w:r>
            <w:r>
              <w:t>.</w:t>
            </w:r>
          </w:p>
          <w:p w14:paraId="22EA21CB" w14:textId="3C9DEA18" w:rsidR="00246952" w:rsidRDefault="00246952" w:rsidP="00BE7FC0">
            <w:pPr>
              <w:pStyle w:val="ListParagraph"/>
              <w:numPr>
                <w:ilvl w:val="0"/>
                <w:numId w:val="3"/>
              </w:numPr>
              <w:ind w:left="447"/>
            </w:pPr>
            <w:r>
              <w:t xml:space="preserve">Co-ordination of </w:t>
            </w:r>
            <w:r w:rsidR="0063151D">
              <w:t>E</w:t>
            </w:r>
            <w:r>
              <w:t xml:space="preserve">state </w:t>
            </w:r>
            <w:r w:rsidR="0063151D">
              <w:t>S</w:t>
            </w:r>
            <w:r>
              <w:t xml:space="preserve">ervices to ensure compliance with </w:t>
            </w:r>
            <w:r w:rsidR="00DB467E">
              <w:t xml:space="preserve">legislative </w:t>
            </w:r>
            <w:r>
              <w:t xml:space="preserve">responsibilities: including regular inspection of common areas and liaison with partner agencies (e.g. </w:t>
            </w:r>
            <w:r w:rsidR="0063151D">
              <w:t>Glasgow City Council departments</w:t>
            </w:r>
            <w:r>
              <w:t>)</w:t>
            </w:r>
            <w:r w:rsidR="0063151D">
              <w:t>.</w:t>
            </w:r>
          </w:p>
          <w:p w14:paraId="0B1F3A32" w14:textId="73F88BC5" w:rsidR="00E171A8" w:rsidRDefault="00E171A8" w:rsidP="00BE7FC0">
            <w:pPr>
              <w:pStyle w:val="ListParagraph"/>
              <w:numPr>
                <w:ilvl w:val="0"/>
                <w:numId w:val="3"/>
              </w:numPr>
              <w:ind w:left="447"/>
            </w:pPr>
            <w:r>
              <w:t>Estates budget oversight</w:t>
            </w:r>
            <w:r w:rsidR="000D6F26">
              <w:t xml:space="preserve"> </w:t>
            </w:r>
            <w:r w:rsidR="0063151D">
              <w:t>(</w:t>
            </w:r>
            <w:r w:rsidR="000D6F26">
              <w:t>within delegated authority levels</w:t>
            </w:r>
            <w:r w:rsidR="0063151D">
              <w:t>)</w:t>
            </w:r>
            <w:r w:rsidR="000D6F26">
              <w:t>,</w:t>
            </w:r>
            <w:r>
              <w:t xml:space="preserve"> inc</w:t>
            </w:r>
            <w:r w:rsidR="00E01B9B">
              <w:t>luding</w:t>
            </w:r>
            <w:r>
              <w:t xml:space="preserve"> staff, consumable</w:t>
            </w:r>
            <w:r w:rsidR="0063151D">
              <w:t xml:space="preserve"> orders, a</w:t>
            </w:r>
            <w:r>
              <w:t>nd invoice</w:t>
            </w:r>
            <w:r w:rsidR="0063151D">
              <w:t>s.</w:t>
            </w:r>
          </w:p>
          <w:p w14:paraId="480854A6" w14:textId="188750FC" w:rsidR="00246952" w:rsidRDefault="0063151D" w:rsidP="00BE7FC0">
            <w:pPr>
              <w:pStyle w:val="ListParagraph"/>
              <w:numPr>
                <w:ilvl w:val="0"/>
                <w:numId w:val="3"/>
              </w:numPr>
              <w:ind w:left="447"/>
            </w:pPr>
            <w:r>
              <w:t xml:space="preserve">Effective Line Management </w:t>
            </w:r>
            <w:r w:rsidR="00246952">
              <w:t xml:space="preserve">of </w:t>
            </w:r>
            <w:r>
              <w:t>Estates and C</w:t>
            </w:r>
            <w:r w:rsidR="00246952">
              <w:t>oncierge services to reflect strategy</w:t>
            </w:r>
            <w:r w:rsidR="00BE7FC0">
              <w:t xml:space="preserve"> (concierge, waste management, cleaning, environmental services, parking etc</w:t>
            </w:r>
            <w:r w:rsidR="00246952">
              <w:t>.</w:t>
            </w:r>
          </w:p>
          <w:p w14:paraId="02A43EE6" w14:textId="4EBF5034" w:rsidR="00246952" w:rsidRDefault="00BE7FC0" w:rsidP="00BE7FC0">
            <w:pPr>
              <w:pStyle w:val="ListParagraph"/>
              <w:numPr>
                <w:ilvl w:val="0"/>
                <w:numId w:val="3"/>
              </w:numPr>
              <w:ind w:left="447"/>
            </w:pPr>
            <w:r>
              <w:t xml:space="preserve">Leading related </w:t>
            </w:r>
            <w:r w:rsidR="00246952">
              <w:t xml:space="preserve">contractor performance </w:t>
            </w:r>
            <w:proofErr w:type="gramStart"/>
            <w:r w:rsidR="00246952">
              <w:t xml:space="preserve">management, </w:t>
            </w:r>
            <w:r w:rsidR="00B46908">
              <w:t>and</w:t>
            </w:r>
            <w:proofErr w:type="gramEnd"/>
            <w:r w:rsidR="00B46908">
              <w:t xml:space="preserve"> contributing to relevant p</w:t>
            </w:r>
            <w:r w:rsidR="00246952">
              <w:t>rocurement</w:t>
            </w:r>
            <w:r>
              <w:t xml:space="preserve"> plans. </w:t>
            </w:r>
          </w:p>
          <w:p w14:paraId="720DA1D1" w14:textId="77777777" w:rsidR="00246952" w:rsidRDefault="00E26E57" w:rsidP="00BE7FC0">
            <w:pPr>
              <w:pStyle w:val="ListParagraph"/>
              <w:numPr>
                <w:ilvl w:val="0"/>
                <w:numId w:val="3"/>
              </w:numPr>
              <w:ind w:left="447"/>
            </w:pPr>
            <w:r>
              <w:t>Alignment of Estates service provision within context and legislative framework of the Property Factors (Scot) Act</w:t>
            </w:r>
            <w:r w:rsidR="00F542B3">
              <w:t xml:space="preserve"> 2011</w:t>
            </w:r>
            <w:r>
              <w:t xml:space="preserve">, and GWEn operational priorities.   </w:t>
            </w:r>
          </w:p>
          <w:p w14:paraId="21A242C2" w14:textId="7BF8B145" w:rsidR="004B0563" w:rsidRDefault="004B0563" w:rsidP="00BE7FC0">
            <w:pPr>
              <w:pStyle w:val="ListParagraph"/>
              <w:numPr>
                <w:ilvl w:val="0"/>
                <w:numId w:val="3"/>
              </w:numPr>
              <w:ind w:left="447"/>
            </w:pPr>
            <w:r>
              <w:t>Facil</w:t>
            </w:r>
            <w:r w:rsidR="00AB2CC7">
              <w:t xml:space="preserve">ities </w:t>
            </w:r>
            <w:r w:rsidR="00BE7FC0">
              <w:t>M</w:t>
            </w:r>
            <w:r w:rsidR="00AB2CC7">
              <w:t>anagement including</w:t>
            </w:r>
            <w:r w:rsidR="00E81DDE">
              <w:t xml:space="preserve"> alarms, CCTV</w:t>
            </w:r>
            <w:r w:rsidR="00AB2CC7">
              <w:t xml:space="preserve">, </w:t>
            </w:r>
            <w:r w:rsidR="00832C32">
              <w:t>security</w:t>
            </w:r>
            <w:r w:rsidR="00FF063E">
              <w:t>,</w:t>
            </w:r>
            <w:r w:rsidR="00AB2CC7">
              <w:t xml:space="preserve"> and </w:t>
            </w:r>
            <w:r w:rsidR="00FF063E">
              <w:t xml:space="preserve">common electrical supply </w:t>
            </w:r>
            <w:r w:rsidR="00BE7FC0">
              <w:t xml:space="preserve">/ </w:t>
            </w:r>
            <w:r w:rsidR="00FF063E">
              <w:t>u</w:t>
            </w:r>
            <w:r w:rsidR="00AB2CC7">
              <w:t>tilities</w:t>
            </w:r>
            <w:r w:rsidR="00FF063E">
              <w:t xml:space="preserve"> contract</w:t>
            </w:r>
            <w:r w:rsidR="00BE7FC0">
              <w:t xml:space="preserve">s. </w:t>
            </w:r>
            <w:r>
              <w:t xml:space="preserve"> </w:t>
            </w:r>
          </w:p>
          <w:p w14:paraId="219898D4" w14:textId="77777777" w:rsidR="004B0563" w:rsidRDefault="004B0563" w:rsidP="00BE7FC0">
            <w:pPr>
              <w:pStyle w:val="ListParagraph"/>
              <w:numPr>
                <w:ilvl w:val="0"/>
                <w:numId w:val="3"/>
              </w:numPr>
              <w:ind w:left="447"/>
            </w:pPr>
            <w:r>
              <w:t>Monitoring</w:t>
            </w:r>
            <w:r w:rsidR="00C33514">
              <w:t xml:space="preserve"> </w:t>
            </w:r>
            <w:r>
              <w:t>service satisfaction</w:t>
            </w:r>
            <w:r w:rsidR="004E18E5">
              <w:t>, mitigating complaints</w:t>
            </w:r>
            <w:r w:rsidR="00F00CA6">
              <w:t>,</w:t>
            </w:r>
            <w:r w:rsidR="00BC7D6C">
              <w:t xml:space="preserve"> and undertaking</w:t>
            </w:r>
            <w:r w:rsidR="00F00CA6">
              <w:t xml:space="preserve"> toolbox talks with concierge team</w:t>
            </w:r>
            <w:r w:rsidR="004E18E5">
              <w:t>.</w:t>
            </w:r>
          </w:p>
          <w:p w14:paraId="762BB1D6" w14:textId="5DAC7412" w:rsidR="00246952" w:rsidRDefault="00BE7FC0" w:rsidP="00BE7FC0">
            <w:pPr>
              <w:pStyle w:val="ListParagraph"/>
              <w:numPr>
                <w:ilvl w:val="0"/>
                <w:numId w:val="3"/>
              </w:numPr>
              <w:ind w:left="447"/>
            </w:pPr>
            <w:r>
              <w:t xml:space="preserve">Leading </w:t>
            </w:r>
            <w:r w:rsidR="00246952">
              <w:t xml:space="preserve">Performance reporting on </w:t>
            </w:r>
            <w:r>
              <w:t xml:space="preserve">relevant </w:t>
            </w:r>
            <w:r w:rsidR="00246952">
              <w:t>service areas</w:t>
            </w:r>
            <w:r>
              <w:t xml:space="preserve"> (including data collation / accuracy checking)</w:t>
            </w:r>
            <w:r w:rsidR="00246952">
              <w:t>.</w:t>
            </w:r>
          </w:p>
          <w:p w14:paraId="0552611F" w14:textId="2FBD70E8" w:rsidR="00E346E5" w:rsidRDefault="00C33514" w:rsidP="00BE7FC0">
            <w:pPr>
              <w:pStyle w:val="ListParagraph"/>
              <w:numPr>
                <w:ilvl w:val="0"/>
                <w:numId w:val="3"/>
              </w:numPr>
              <w:ind w:left="447"/>
            </w:pPr>
            <w:r>
              <w:t>Developing</w:t>
            </w:r>
            <w:r w:rsidR="0063151D">
              <w:t xml:space="preserve"> </w:t>
            </w:r>
            <w:r w:rsidR="00246952">
              <w:t>/</w:t>
            </w:r>
            <w:r w:rsidR="0063151D">
              <w:t xml:space="preserve"> </w:t>
            </w:r>
            <w:r w:rsidR="00246952">
              <w:t>r</w:t>
            </w:r>
            <w:r w:rsidR="0063151D">
              <w:t>eviewing function procedures;</w:t>
            </w:r>
            <w:r w:rsidR="00246952">
              <w:t xml:space="preserve"> </w:t>
            </w:r>
            <w:r w:rsidR="0063151D">
              <w:t xml:space="preserve">including </w:t>
            </w:r>
            <w:r w:rsidR="00246952">
              <w:t>c</w:t>
            </w:r>
            <w:r>
              <w:t xml:space="preserve">ontributing to </w:t>
            </w:r>
            <w:r w:rsidR="0063151D">
              <w:t xml:space="preserve">strategy and </w:t>
            </w:r>
            <w:r>
              <w:t>policy development</w:t>
            </w:r>
            <w:r w:rsidR="0063151D">
              <w:t xml:space="preserve"> </w:t>
            </w:r>
            <w:r>
              <w:t>/</w:t>
            </w:r>
            <w:r w:rsidR="0063151D">
              <w:t xml:space="preserve"> </w:t>
            </w:r>
            <w:r>
              <w:t>review</w:t>
            </w:r>
            <w:r w:rsidR="0063151D">
              <w:t>.</w:t>
            </w:r>
          </w:p>
          <w:p w14:paraId="3269AA0A" w14:textId="602B5E6E" w:rsidR="00BE7FC0" w:rsidRPr="00F40E07" w:rsidRDefault="00BE7FC0" w:rsidP="00BE7FC0">
            <w:pPr>
              <w:pStyle w:val="NoSpacing"/>
              <w:numPr>
                <w:ilvl w:val="0"/>
                <w:numId w:val="3"/>
              </w:numPr>
              <w:ind w:left="447"/>
            </w:pPr>
            <w:r>
              <w:t xml:space="preserve">Contributing / leading as appropriate to </w:t>
            </w:r>
            <w:r w:rsidRPr="00F40E07">
              <w:t xml:space="preserve">the production </w:t>
            </w:r>
            <w:r>
              <w:t xml:space="preserve">and distribution of </w:t>
            </w:r>
            <w:r w:rsidRPr="00F40E07">
              <w:t>publications such as</w:t>
            </w:r>
            <w:r>
              <w:t xml:space="preserve"> newsletters,</w:t>
            </w:r>
            <w:r w:rsidRPr="00F40E07">
              <w:t xml:space="preserve"> </w:t>
            </w:r>
            <w:r>
              <w:t xml:space="preserve">information leaflets, website articles etc. </w:t>
            </w:r>
            <w:r w:rsidRPr="00F40E07">
              <w:t xml:space="preserve">  </w:t>
            </w:r>
          </w:p>
          <w:p w14:paraId="1AAD09CB" w14:textId="77777777" w:rsidR="00BE7FC0" w:rsidRDefault="00BE7FC0" w:rsidP="00BE7FC0">
            <w:pPr>
              <w:pStyle w:val="NoSpacing"/>
              <w:numPr>
                <w:ilvl w:val="0"/>
                <w:numId w:val="3"/>
              </w:numPr>
              <w:ind w:left="447"/>
            </w:pPr>
            <w:r w:rsidRPr="00F40E07">
              <w:t xml:space="preserve">Assisting with the development and delivery of </w:t>
            </w:r>
            <w:r>
              <w:t xml:space="preserve">Estate Services </w:t>
            </w:r>
            <w:r w:rsidRPr="00F40E07">
              <w:t xml:space="preserve">and wider role initiatives including promoting of GWHA services and proactively engaging with customer </w:t>
            </w:r>
            <w:proofErr w:type="gramStart"/>
            <w:r w:rsidRPr="00F40E07">
              <w:t>groups</w:t>
            </w:r>
            <w:r>
              <w:t>, and</w:t>
            </w:r>
            <w:proofErr w:type="gramEnd"/>
            <w:r>
              <w:t xml:space="preserve"> participating in community events</w:t>
            </w:r>
            <w:r w:rsidRPr="00F40E07">
              <w:t>.</w:t>
            </w:r>
          </w:p>
          <w:p w14:paraId="446497D6" w14:textId="7353428E" w:rsidR="00502133" w:rsidRDefault="00296758" w:rsidP="00BE7FC0">
            <w:pPr>
              <w:pStyle w:val="ListParagraph"/>
              <w:numPr>
                <w:ilvl w:val="0"/>
                <w:numId w:val="3"/>
              </w:numPr>
              <w:ind w:left="447"/>
            </w:pPr>
            <w:r>
              <w:t>Represent</w:t>
            </w:r>
            <w:r w:rsidR="00F542B3">
              <w:t xml:space="preserve">ation </w:t>
            </w:r>
            <w:r>
              <w:t>at Resi</w:t>
            </w:r>
            <w:r w:rsidR="00A27ED9">
              <w:t xml:space="preserve">dents Meetings, Forums and seminars as required. </w:t>
            </w:r>
            <w:r>
              <w:t xml:space="preserve"> </w:t>
            </w:r>
          </w:p>
          <w:p w14:paraId="75D09FBB" w14:textId="7E34D513" w:rsidR="00BE7FC0" w:rsidRDefault="00BE7FC0" w:rsidP="00BE7FC0">
            <w:pPr>
              <w:numPr>
                <w:ilvl w:val="0"/>
                <w:numId w:val="3"/>
              </w:numPr>
              <w:ind w:left="447"/>
            </w:pPr>
            <w:r w:rsidRPr="00C67557">
              <w:t xml:space="preserve">Supporting </w:t>
            </w:r>
            <w:r>
              <w:t xml:space="preserve">wider services delivery of </w:t>
            </w:r>
            <w:r w:rsidRPr="00C67557">
              <w:t>GWHA</w:t>
            </w:r>
            <w:r>
              <w:t xml:space="preserve"> objectives through adhoc support to other teams (including Technical / Factoring / Repairs and Frontline Services).</w:t>
            </w:r>
          </w:p>
          <w:p w14:paraId="6221C1B6" w14:textId="77777777" w:rsidR="00BC7D6C" w:rsidRPr="00246952" w:rsidRDefault="00BC7D6C" w:rsidP="00823B7E">
            <w:pPr>
              <w:pStyle w:val="ListParagraph"/>
              <w:ind w:left="313"/>
            </w:pPr>
          </w:p>
        </w:tc>
      </w:tr>
      <w:tr w:rsidR="0063151D" w:rsidRPr="003F388E" w14:paraId="51AC2F29" w14:textId="77777777" w:rsidTr="00502133">
        <w:trPr>
          <w:trHeight w:val="1304"/>
        </w:trPr>
        <w:tc>
          <w:tcPr>
            <w:tcW w:w="10875" w:type="dxa"/>
            <w:gridSpan w:val="4"/>
            <w:tcBorders>
              <w:top w:val="single" w:sz="4" w:space="0" w:color="auto"/>
              <w:left w:val="single" w:sz="4" w:space="0" w:color="auto"/>
              <w:bottom w:val="single" w:sz="4" w:space="0" w:color="auto"/>
              <w:right w:val="single" w:sz="4" w:space="0" w:color="auto"/>
            </w:tcBorders>
          </w:tcPr>
          <w:p w14:paraId="559A255D" w14:textId="77777777" w:rsidR="0063151D" w:rsidRPr="007D305B" w:rsidRDefault="0063151D" w:rsidP="0063151D">
            <w:pPr>
              <w:pStyle w:val="NoSpacing"/>
              <w:rPr>
                <w:b/>
              </w:rPr>
            </w:pPr>
            <w:r w:rsidRPr="007D305B">
              <w:rPr>
                <w:b/>
              </w:rPr>
              <w:t>SCOPE: Towards 20</w:t>
            </w:r>
            <w:r>
              <w:rPr>
                <w:b/>
              </w:rPr>
              <w:t>28</w:t>
            </w:r>
            <w:r w:rsidRPr="007D305B">
              <w:rPr>
                <w:b/>
              </w:rPr>
              <w:t xml:space="preserve">: Shaping Thriving Communities:  </w:t>
            </w:r>
          </w:p>
          <w:p w14:paraId="5BFE9BCF" w14:textId="0AB74985" w:rsidR="0063151D" w:rsidRPr="00107B26" w:rsidRDefault="0063151D" w:rsidP="0063151D">
            <w:pPr>
              <w:rPr>
                <w:b/>
              </w:rPr>
            </w:pPr>
            <w:r w:rsidRPr="00BC5D87">
              <w:t xml:space="preserve">A member of the </w:t>
            </w:r>
            <w:r w:rsidR="00893066">
              <w:t>Technical</w:t>
            </w:r>
            <w:r w:rsidRPr="00BC5D87">
              <w:t xml:space="preserve"> </w:t>
            </w:r>
            <w:r>
              <w:t xml:space="preserve">Division, based in the </w:t>
            </w:r>
            <w:r w:rsidR="00EB7E19">
              <w:t xml:space="preserve">Estates and Factoring </w:t>
            </w:r>
            <w:r w:rsidRPr="00BC5D87">
              <w:t>Team</w:t>
            </w:r>
            <w:r>
              <w:t>.  A</w:t>
            </w:r>
            <w:r w:rsidRPr="00BC5D87">
              <w:t xml:space="preserve">ctively </w:t>
            </w:r>
            <w:r>
              <w:t>progressing and supporting the delivery of asset management, procurement and sustainability strategies, with a focus on the protection of property investment and assets. Initial focus on delivery of investment and planned maintenance projects, and with flexibility and scope of role to reflect organisational priorities, change, and progress towards 2028 vision.</w:t>
            </w:r>
          </w:p>
        </w:tc>
      </w:tr>
    </w:tbl>
    <w:p w14:paraId="643F95F8" w14:textId="77777777" w:rsidR="00BD19A2" w:rsidRPr="003F388E" w:rsidRDefault="00BD19A2" w:rsidP="00BD19A2"/>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677"/>
      </w:tblGrid>
      <w:tr w:rsidR="00BD19A2" w:rsidRPr="003F388E" w14:paraId="3B16B25C" w14:textId="77777777" w:rsidTr="0063151D">
        <w:trPr>
          <w:trHeight w:val="70"/>
        </w:trPr>
        <w:tc>
          <w:tcPr>
            <w:tcW w:w="10803" w:type="dxa"/>
            <w:gridSpan w:val="2"/>
            <w:tcBorders>
              <w:top w:val="single" w:sz="4" w:space="0" w:color="auto"/>
              <w:left w:val="single" w:sz="4" w:space="0" w:color="auto"/>
              <w:bottom w:val="single" w:sz="4" w:space="0" w:color="auto"/>
              <w:right w:val="single" w:sz="4" w:space="0" w:color="auto"/>
            </w:tcBorders>
            <w:hideMark/>
          </w:tcPr>
          <w:p w14:paraId="76692754" w14:textId="77777777" w:rsidR="00BD19A2" w:rsidRPr="003F388E" w:rsidRDefault="00BD19A2">
            <w:pPr>
              <w:rPr>
                <w:sz w:val="28"/>
                <w:szCs w:val="28"/>
              </w:rPr>
            </w:pPr>
            <w:r w:rsidRPr="003F388E">
              <w:br w:type="page"/>
            </w:r>
            <w:r w:rsidRPr="003F388E">
              <w:rPr>
                <w:b/>
                <w:sz w:val="28"/>
                <w:szCs w:val="28"/>
              </w:rPr>
              <w:t xml:space="preserve">COMPETENCIES </w:t>
            </w:r>
          </w:p>
        </w:tc>
      </w:tr>
      <w:tr w:rsidR="0088627A" w:rsidRPr="003F388E" w14:paraId="39D8D396" w14:textId="77777777" w:rsidTr="0063151D">
        <w:trPr>
          <w:trHeight w:val="70"/>
        </w:trPr>
        <w:tc>
          <w:tcPr>
            <w:tcW w:w="2126" w:type="dxa"/>
            <w:tcBorders>
              <w:top w:val="single" w:sz="4" w:space="0" w:color="auto"/>
              <w:left w:val="single" w:sz="4" w:space="0" w:color="auto"/>
              <w:bottom w:val="single" w:sz="4" w:space="0" w:color="auto"/>
              <w:right w:val="single" w:sz="4" w:space="0" w:color="auto"/>
            </w:tcBorders>
            <w:hideMark/>
          </w:tcPr>
          <w:p w14:paraId="70C53C2D" w14:textId="77777777" w:rsidR="0088627A" w:rsidRPr="003F388E" w:rsidRDefault="0088627A" w:rsidP="0088627A">
            <w:pPr>
              <w:spacing w:before="60" w:after="40"/>
            </w:pPr>
            <w:r w:rsidRPr="005A77D8">
              <w:t>Team Working</w:t>
            </w:r>
          </w:p>
        </w:tc>
        <w:tc>
          <w:tcPr>
            <w:tcW w:w="8677" w:type="dxa"/>
            <w:tcBorders>
              <w:top w:val="single" w:sz="4" w:space="0" w:color="auto"/>
              <w:left w:val="single" w:sz="4" w:space="0" w:color="auto"/>
              <w:bottom w:val="single" w:sz="4" w:space="0" w:color="auto"/>
              <w:right w:val="single" w:sz="4" w:space="0" w:color="auto"/>
            </w:tcBorders>
            <w:hideMark/>
          </w:tcPr>
          <w:p w14:paraId="53124B37" w14:textId="77777777" w:rsidR="0088627A" w:rsidRDefault="0088627A" w:rsidP="0088627A">
            <w:r>
              <w:t>Proactively engages with others to ensure accurate and comprehensive information is shared.</w:t>
            </w:r>
          </w:p>
          <w:p w14:paraId="7FDC6474" w14:textId="77777777" w:rsidR="0088627A" w:rsidRDefault="0088627A" w:rsidP="0088627A">
            <w:r>
              <w:t xml:space="preserve">Actively contributes to, and participates in, team discussions and activities.  </w:t>
            </w:r>
          </w:p>
          <w:p w14:paraId="4506B06C" w14:textId="77777777" w:rsidR="0088627A" w:rsidRDefault="0088627A" w:rsidP="0088627A">
            <w:r>
              <w:t xml:space="preserve">Promotes and engages in positive </w:t>
            </w:r>
            <w:proofErr w:type="gramStart"/>
            <w:r>
              <w:t>team work</w:t>
            </w:r>
            <w:proofErr w:type="gramEnd"/>
            <w:r>
              <w:t xml:space="preserve">, respecting the contribution of others. </w:t>
            </w:r>
          </w:p>
          <w:p w14:paraId="2CAB09DC" w14:textId="77777777" w:rsidR="0088627A" w:rsidRDefault="0088627A" w:rsidP="0088627A">
            <w:r>
              <w:t xml:space="preserve">Displays a willingness to assist, support and mentor other members of the Team.   </w:t>
            </w:r>
          </w:p>
          <w:p w14:paraId="38A6029B" w14:textId="77777777" w:rsidR="0088627A" w:rsidRDefault="0088627A" w:rsidP="0088627A">
            <w:r>
              <w:t>Highlights issues of importance and keeps team appraised on matters of common interest.</w:t>
            </w:r>
          </w:p>
          <w:p w14:paraId="53BECB4D" w14:textId="77777777" w:rsidR="0088627A" w:rsidRDefault="0088627A" w:rsidP="0088627A">
            <w:r>
              <w:t xml:space="preserve">Comfortable with lone working and displays awareness of personal safety and risk.  </w:t>
            </w:r>
          </w:p>
          <w:p w14:paraId="598A1E64" w14:textId="77777777" w:rsidR="0088627A" w:rsidRDefault="0088627A" w:rsidP="0088627A">
            <w:r>
              <w:t>Uses initiative and generates ideas.</w:t>
            </w:r>
          </w:p>
          <w:p w14:paraId="1008BA1E" w14:textId="77777777" w:rsidR="0088627A" w:rsidRPr="003F388E" w:rsidRDefault="0088627A" w:rsidP="0088627A"/>
        </w:tc>
      </w:tr>
      <w:tr w:rsidR="0088627A" w:rsidRPr="003F388E" w14:paraId="5D974FE3" w14:textId="77777777" w:rsidTr="0063151D">
        <w:trPr>
          <w:trHeight w:val="70"/>
        </w:trPr>
        <w:tc>
          <w:tcPr>
            <w:tcW w:w="2126" w:type="dxa"/>
            <w:tcBorders>
              <w:top w:val="single" w:sz="4" w:space="0" w:color="auto"/>
              <w:left w:val="single" w:sz="4" w:space="0" w:color="auto"/>
              <w:bottom w:val="single" w:sz="4" w:space="0" w:color="auto"/>
              <w:right w:val="single" w:sz="4" w:space="0" w:color="auto"/>
            </w:tcBorders>
            <w:hideMark/>
          </w:tcPr>
          <w:p w14:paraId="4E39EE4B" w14:textId="77777777" w:rsidR="0088627A" w:rsidRPr="003F388E" w:rsidRDefault="0088627A" w:rsidP="0088627A">
            <w:pPr>
              <w:spacing w:before="60" w:after="40"/>
            </w:pPr>
            <w:r w:rsidRPr="005A77D8">
              <w:t>Knowledge</w:t>
            </w:r>
          </w:p>
        </w:tc>
        <w:tc>
          <w:tcPr>
            <w:tcW w:w="8677" w:type="dxa"/>
            <w:tcBorders>
              <w:top w:val="single" w:sz="4" w:space="0" w:color="auto"/>
              <w:left w:val="single" w:sz="4" w:space="0" w:color="auto"/>
              <w:bottom w:val="single" w:sz="4" w:space="0" w:color="auto"/>
              <w:right w:val="single" w:sz="4" w:space="0" w:color="auto"/>
            </w:tcBorders>
            <w:hideMark/>
          </w:tcPr>
          <w:p w14:paraId="7836F2E7" w14:textId="77777777" w:rsidR="0088627A" w:rsidRDefault="0088627A" w:rsidP="0088627A">
            <w:r>
              <w:t>Awareness of the housing sector, its wider environment and the changing role of RSLs.</w:t>
            </w:r>
          </w:p>
          <w:p w14:paraId="6F1187F8" w14:textId="77777777" w:rsidR="0088627A" w:rsidRDefault="0088627A" w:rsidP="0088627A">
            <w:r>
              <w:t>Appropriate knowledge and specialism to reflect core responsibilities and scope of role.</w:t>
            </w:r>
          </w:p>
          <w:p w14:paraId="0EDA08FB" w14:textId="77777777" w:rsidR="0088627A" w:rsidRPr="003F388E" w:rsidRDefault="0088627A" w:rsidP="0088627A"/>
        </w:tc>
      </w:tr>
    </w:tbl>
    <w:p w14:paraId="348C1B41" w14:textId="4A782C57" w:rsidR="00893066" w:rsidRDefault="00893066"/>
    <w:p w14:paraId="7F49EAC1" w14:textId="77777777" w:rsidR="00893066" w:rsidRDefault="00893066">
      <w:pPr>
        <w:spacing w:after="200" w:line="276" w:lineRule="auto"/>
      </w:pPr>
      <w:r>
        <w:br w:type="page"/>
      </w:r>
    </w:p>
    <w:p w14:paraId="41072736" w14:textId="77777777" w:rsidR="00893066" w:rsidRDefault="00893066"/>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677"/>
      </w:tblGrid>
      <w:tr w:rsidR="0088627A" w:rsidRPr="003F388E" w14:paraId="6A95CA52" w14:textId="77777777" w:rsidTr="0063151D">
        <w:trPr>
          <w:trHeight w:val="70"/>
        </w:trPr>
        <w:tc>
          <w:tcPr>
            <w:tcW w:w="2126" w:type="dxa"/>
            <w:tcBorders>
              <w:top w:val="single" w:sz="4" w:space="0" w:color="auto"/>
              <w:left w:val="single" w:sz="4" w:space="0" w:color="auto"/>
              <w:bottom w:val="single" w:sz="4" w:space="0" w:color="auto"/>
              <w:right w:val="single" w:sz="4" w:space="0" w:color="auto"/>
            </w:tcBorders>
            <w:hideMark/>
          </w:tcPr>
          <w:p w14:paraId="10E094FB" w14:textId="77777777" w:rsidR="0088627A" w:rsidRPr="003F388E" w:rsidRDefault="0088627A" w:rsidP="0088627A">
            <w:pPr>
              <w:spacing w:before="60" w:after="40"/>
            </w:pPr>
            <w:r w:rsidRPr="005A77D8">
              <w:t>Professionalism</w:t>
            </w:r>
          </w:p>
        </w:tc>
        <w:tc>
          <w:tcPr>
            <w:tcW w:w="8677" w:type="dxa"/>
            <w:tcBorders>
              <w:top w:val="single" w:sz="4" w:space="0" w:color="auto"/>
              <w:left w:val="single" w:sz="4" w:space="0" w:color="auto"/>
              <w:bottom w:val="single" w:sz="4" w:space="0" w:color="auto"/>
              <w:right w:val="single" w:sz="4" w:space="0" w:color="auto"/>
            </w:tcBorders>
            <w:hideMark/>
          </w:tcPr>
          <w:p w14:paraId="34109779" w14:textId="77777777" w:rsidR="0088627A" w:rsidRDefault="0088627A" w:rsidP="0088627A">
            <w:r>
              <w:t>Operates within the framework of policies and procedures and actively contributes to the review and delivery of same.</w:t>
            </w:r>
          </w:p>
          <w:p w14:paraId="7B8FDD03" w14:textId="77777777" w:rsidR="0088627A" w:rsidRDefault="0088627A" w:rsidP="0088627A">
            <w:r>
              <w:t xml:space="preserve">Displays willingness and enthusiasm in carrying out responsibilities and tasks.  </w:t>
            </w:r>
          </w:p>
          <w:p w14:paraId="591EB70C" w14:textId="77777777" w:rsidR="0088627A" w:rsidRDefault="0088627A" w:rsidP="0088627A">
            <w:r>
              <w:t xml:space="preserve">Commitment to change, continuous improvement, learning and best practice. </w:t>
            </w:r>
          </w:p>
          <w:p w14:paraId="0A61240D" w14:textId="77777777" w:rsidR="0088627A" w:rsidRDefault="0088627A" w:rsidP="0088627A">
            <w:r>
              <w:t xml:space="preserve">Awareness of personal strengths and limitations and seeks support, assistance and intervention as appropriate.  </w:t>
            </w:r>
          </w:p>
          <w:p w14:paraId="54917080" w14:textId="77777777" w:rsidR="0088627A" w:rsidRPr="003F388E" w:rsidRDefault="0088627A" w:rsidP="0088627A"/>
        </w:tc>
      </w:tr>
      <w:tr w:rsidR="0088627A" w:rsidRPr="003F388E" w14:paraId="36E2BDC2" w14:textId="77777777" w:rsidTr="0063151D">
        <w:trPr>
          <w:trHeight w:val="225"/>
        </w:trPr>
        <w:tc>
          <w:tcPr>
            <w:tcW w:w="2126" w:type="dxa"/>
            <w:tcBorders>
              <w:top w:val="single" w:sz="4" w:space="0" w:color="auto"/>
              <w:left w:val="single" w:sz="4" w:space="0" w:color="auto"/>
              <w:bottom w:val="single" w:sz="4" w:space="0" w:color="auto"/>
              <w:right w:val="single" w:sz="4" w:space="0" w:color="auto"/>
            </w:tcBorders>
            <w:hideMark/>
          </w:tcPr>
          <w:p w14:paraId="0F7F943E" w14:textId="77777777" w:rsidR="0088627A" w:rsidRPr="003F388E" w:rsidRDefault="0088627A" w:rsidP="0088627A">
            <w:pPr>
              <w:spacing w:before="60" w:after="40"/>
            </w:pPr>
            <w:r w:rsidRPr="005A77D8">
              <w:t>Customer service</w:t>
            </w:r>
          </w:p>
        </w:tc>
        <w:tc>
          <w:tcPr>
            <w:tcW w:w="8677" w:type="dxa"/>
            <w:tcBorders>
              <w:top w:val="single" w:sz="4" w:space="0" w:color="auto"/>
              <w:left w:val="single" w:sz="4" w:space="0" w:color="auto"/>
              <w:bottom w:val="single" w:sz="4" w:space="0" w:color="auto"/>
              <w:right w:val="single" w:sz="4" w:space="0" w:color="auto"/>
            </w:tcBorders>
            <w:hideMark/>
          </w:tcPr>
          <w:p w14:paraId="15FA4EAC" w14:textId="77777777" w:rsidR="0088627A" w:rsidRDefault="0088627A" w:rsidP="0088627A">
            <w:pPr>
              <w:spacing w:before="60" w:after="40"/>
            </w:pPr>
            <w:r>
              <w:t>Embraces a culture of quality, responsive customer service and engagement.</w:t>
            </w:r>
          </w:p>
          <w:p w14:paraId="3EA8C9D1" w14:textId="77777777" w:rsidR="0088627A" w:rsidRDefault="0088627A" w:rsidP="0088627A">
            <w:pPr>
              <w:spacing w:before="60" w:after="40"/>
            </w:pPr>
            <w:r>
              <w:t>Provides accurate and appropriate advice, information, assistance and support to external and internal customers and stakeholders.</w:t>
            </w:r>
          </w:p>
          <w:p w14:paraId="6C532CA4" w14:textId="77777777" w:rsidR="0088627A" w:rsidRDefault="0088627A" w:rsidP="0088627A">
            <w:pPr>
              <w:spacing w:before="60" w:after="40"/>
            </w:pPr>
            <w:r>
              <w:t>Mitigates complaints through successful service delivery and interaction.</w:t>
            </w:r>
          </w:p>
          <w:p w14:paraId="3F583B2B" w14:textId="77777777" w:rsidR="0088627A" w:rsidRPr="003F388E" w:rsidRDefault="0088627A" w:rsidP="0088627A">
            <w:pPr>
              <w:spacing w:before="60" w:after="40"/>
            </w:pPr>
          </w:p>
        </w:tc>
      </w:tr>
      <w:tr w:rsidR="0088627A" w:rsidRPr="003F388E" w14:paraId="65D90745" w14:textId="77777777" w:rsidTr="0063151D">
        <w:trPr>
          <w:trHeight w:val="225"/>
        </w:trPr>
        <w:tc>
          <w:tcPr>
            <w:tcW w:w="2126" w:type="dxa"/>
            <w:tcBorders>
              <w:top w:val="single" w:sz="4" w:space="0" w:color="auto"/>
              <w:left w:val="single" w:sz="4" w:space="0" w:color="auto"/>
              <w:bottom w:val="single" w:sz="4" w:space="0" w:color="auto"/>
              <w:right w:val="single" w:sz="4" w:space="0" w:color="auto"/>
            </w:tcBorders>
            <w:hideMark/>
          </w:tcPr>
          <w:p w14:paraId="33968CDA" w14:textId="77777777" w:rsidR="0088627A" w:rsidRPr="003F388E" w:rsidRDefault="0088627A" w:rsidP="0088627A">
            <w:pPr>
              <w:spacing w:before="60" w:after="40"/>
            </w:pPr>
            <w:r w:rsidRPr="005A77D8">
              <w:t>Interpersonal</w:t>
            </w:r>
          </w:p>
        </w:tc>
        <w:tc>
          <w:tcPr>
            <w:tcW w:w="8677" w:type="dxa"/>
            <w:tcBorders>
              <w:top w:val="single" w:sz="4" w:space="0" w:color="auto"/>
              <w:left w:val="single" w:sz="4" w:space="0" w:color="auto"/>
              <w:bottom w:val="single" w:sz="4" w:space="0" w:color="auto"/>
              <w:right w:val="single" w:sz="4" w:space="0" w:color="auto"/>
            </w:tcBorders>
            <w:hideMark/>
          </w:tcPr>
          <w:p w14:paraId="1E0FF426" w14:textId="77777777" w:rsidR="0088627A" w:rsidRDefault="0088627A" w:rsidP="0088627A">
            <w:pPr>
              <w:spacing w:before="60" w:after="40"/>
            </w:pPr>
            <w:proofErr w:type="spellStart"/>
            <w:r w:rsidRPr="005A77D8">
              <w:t>Self motivated</w:t>
            </w:r>
            <w:proofErr w:type="spellEnd"/>
            <w:r w:rsidRPr="005A77D8">
              <w:t>, flexible, reliable, adaptable and sociable, demonstrating self-confidence, initiative and drive to ensure common goals are achieved.</w:t>
            </w:r>
          </w:p>
          <w:p w14:paraId="52A6D8D3" w14:textId="77777777" w:rsidR="0088627A" w:rsidRPr="003F388E" w:rsidRDefault="0088627A" w:rsidP="0088627A">
            <w:pPr>
              <w:spacing w:before="60" w:after="40"/>
            </w:pPr>
          </w:p>
        </w:tc>
      </w:tr>
      <w:tr w:rsidR="0088627A" w:rsidRPr="003F388E" w14:paraId="3690225E" w14:textId="77777777" w:rsidTr="0063151D">
        <w:trPr>
          <w:trHeight w:val="225"/>
        </w:trPr>
        <w:tc>
          <w:tcPr>
            <w:tcW w:w="2126" w:type="dxa"/>
            <w:tcBorders>
              <w:top w:val="single" w:sz="4" w:space="0" w:color="auto"/>
              <w:left w:val="single" w:sz="4" w:space="0" w:color="auto"/>
              <w:bottom w:val="single" w:sz="4" w:space="0" w:color="auto"/>
              <w:right w:val="single" w:sz="4" w:space="0" w:color="auto"/>
            </w:tcBorders>
            <w:hideMark/>
          </w:tcPr>
          <w:p w14:paraId="51F8BC21" w14:textId="77777777" w:rsidR="0088627A" w:rsidRPr="003F388E" w:rsidRDefault="0088627A" w:rsidP="0088627A">
            <w:pPr>
              <w:spacing w:before="60" w:after="40"/>
            </w:pPr>
            <w:r w:rsidRPr="005A77D8">
              <w:t>Organisational &amp; analytical</w:t>
            </w:r>
          </w:p>
        </w:tc>
        <w:tc>
          <w:tcPr>
            <w:tcW w:w="8677" w:type="dxa"/>
            <w:tcBorders>
              <w:top w:val="single" w:sz="4" w:space="0" w:color="auto"/>
              <w:left w:val="single" w:sz="4" w:space="0" w:color="auto"/>
              <w:bottom w:val="single" w:sz="4" w:space="0" w:color="auto"/>
              <w:right w:val="single" w:sz="4" w:space="0" w:color="auto"/>
            </w:tcBorders>
            <w:hideMark/>
          </w:tcPr>
          <w:p w14:paraId="12B4F202" w14:textId="77777777" w:rsidR="0088627A" w:rsidRDefault="0088627A" w:rsidP="0088627A">
            <w:r>
              <w:t>Ability to analyse situations and respond with appropriate action.</w:t>
            </w:r>
          </w:p>
          <w:p w14:paraId="42B4F66A" w14:textId="77777777" w:rsidR="0088627A" w:rsidRDefault="0088627A" w:rsidP="0088627A">
            <w:r>
              <w:t xml:space="preserve">Effectively plans and prioritises work to deliver expectations, achieve high quality and strong performance. </w:t>
            </w:r>
          </w:p>
          <w:p w14:paraId="335E297C" w14:textId="77777777" w:rsidR="0088627A" w:rsidRDefault="0088627A" w:rsidP="0088627A">
            <w:r>
              <w:t>Ability to analyse and interpret data.</w:t>
            </w:r>
          </w:p>
          <w:p w14:paraId="3E6A3FE1" w14:textId="77777777" w:rsidR="0088627A" w:rsidRDefault="0088627A" w:rsidP="0088627A">
            <w:r>
              <w:t>Responsive to changing demands.</w:t>
            </w:r>
          </w:p>
          <w:p w14:paraId="63831381" w14:textId="77777777" w:rsidR="0088627A" w:rsidRPr="003F388E" w:rsidRDefault="0088627A" w:rsidP="0088627A"/>
        </w:tc>
      </w:tr>
      <w:tr w:rsidR="0088627A" w:rsidRPr="003F388E" w14:paraId="05D08920" w14:textId="77777777" w:rsidTr="0063151D">
        <w:trPr>
          <w:trHeight w:val="306"/>
        </w:trPr>
        <w:tc>
          <w:tcPr>
            <w:tcW w:w="2126" w:type="dxa"/>
            <w:tcBorders>
              <w:top w:val="single" w:sz="4" w:space="0" w:color="auto"/>
              <w:left w:val="single" w:sz="4" w:space="0" w:color="auto"/>
              <w:bottom w:val="single" w:sz="4" w:space="0" w:color="auto"/>
              <w:right w:val="single" w:sz="4" w:space="0" w:color="auto"/>
            </w:tcBorders>
            <w:hideMark/>
          </w:tcPr>
          <w:p w14:paraId="52833635" w14:textId="77777777" w:rsidR="0088627A" w:rsidRPr="003F388E" w:rsidRDefault="0088627A" w:rsidP="0088627A">
            <w:pPr>
              <w:spacing w:before="60" w:after="40"/>
            </w:pPr>
            <w:r w:rsidRPr="005A77D8">
              <w:t>Communication &amp; ICT</w:t>
            </w:r>
          </w:p>
        </w:tc>
        <w:tc>
          <w:tcPr>
            <w:tcW w:w="8677" w:type="dxa"/>
            <w:tcBorders>
              <w:top w:val="single" w:sz="4" w:space="0" w:color="auto"/>
              <w:left w:val="single" w:sz="4" w:space="0" w:color="auto"/>
              <w:bottom w:val="single" w:sz="4" w:space="0" w:color="auto"/>
              <w:right w:val="single" w:sz="4" w:space="0" w:color="auto"/>
            </w:tcBorders>
            <w:hideMark/>
          </w:tcPr>
          <w:p w14:paraId="739ACF94" w14:textId="77777777" w:rsidR="0088627A" w:rsidRDefault="0088627A" w:rsidP="0088627A">
            <w:pPr>
              <w:spacing w:before="60" w:after="40"/>
            </w:pPr>
            <w:r>
              <w:t xml:space="preserve">Displays confidence and professional rapport with internal and external customers. </w:t>
            </w:r>
          </w:p>
          <w:p w14:paraId="151A574E" w14:textId="77777777" w:rsidR="0088627A" w:rsidRDefault="0088627A" w:rsidP="0088627A">
            <w:pPr>
              <w:spacing w:before="60" w:after="40"/>
            </w:pPr>
            <w:r>
              <w:t xml:space="preserve">Effective communication, language and letter writing skills.   </w:t>
            </w:r>
          </w:p>
          <w:p w14:paraId="2E940C9A" w14:textId="77777777" w:rsidR="0088627A" w:rsidRDefault="0088627A" w:rsidP="0088627A">
            <w:pPr>
              <w:spacing w:before="60" w:after="40"/>
            </w:pPr>
            <w:r>
              <w:t>Effective contribution and input to reports, newsletters and corporate publications.</w:t>
            </w:r>
          </w:p>
          <w:p w14:paraId="00B42B71" w14:textId="77777777" w:rsidR="0088627A" w:rsidRDefault="0088627A" w:rsidP="0088627A">
            <w:pPr>
              <w:spacing w:before="60" w:after="40"/>
            </w:pPr>
            <w:r>
              <w:t>Proficient ICT skills: Outlook, Word, Excel, PowerPoint</w:t>
            </w:r>
          </w:p>
          <w:p w14:paraId="08BE4101" w14:textId="77777777" w:rsidR="0088627A" w:rsidRPr="003F388E" w:rsidRDefault="0088627A" w:rsidP="0088627A">
            <w:pPr>
              <w:spacing w:before="60" w:after="40"/>
            </w:pPr>
          </w:p>
        </w:tc>
      </w:tr>
      <w:tr w:rsidR="0088627A" w:rsidRPr="003F388E" w14:paraId="7F031B42" w14:textId="77777777" w:rsidTr="0063151D">
        <w:trPr>
          <w:trHeight w:val="306"/>
        </w:trPr>
        <w:tc>
          <w:tcPr>
            <w:tcW w:w="2126" w:type="dxa"/>
            <w:tcBorders>
              <w:top w:val="single" w:sz="4" w:space="0" w:color="auto"/>
              <w:left w:val="single" w:sz="4" w:space="0" w:color="auto"/>
              <w:bottom w:val="single" w:sz="4" w:space="0" w:color="auto"/>
              <w:right w:val="single" w:sz="4" w:space="0" w:color="auto"/>
            </w:tcBorders>
            <w:hideMark/>
          </w:tcPr>
          <w:p w14:paraId="2C294839" w14:textId="77777777" w:rsidR="0088627A" w:rsidRPr="005A77D8" w:rsidRDefault="0088627A" w:rsidP="0088627A">
            <w:pPr>
              <w:spacing w:before="60" w:after="40"/>
            </w:pPr>
            <w:r w:rsidRPr="005A77D8">
              <w:t>Vision &amp; values</w:t>
            </w:r>
          </w:p>
        </w:tc>
        <w:tc>
          <w:tcPr>
            <w:tcW w:w="8677" w:type="dxa"/>
            <w:tcBorders>
              <w:top w:val="single" w:sz="4" w:space="0" w:color="auto"/>
              <w:left w:val="single" w:sz="4" w:space="0" w:color="auto"/>
              <w:bottom w:val="single" w:sz="4" w:space="0" w:color="auto"/>
              <w:right w:val="single" w:sz="4" w:space="0" w:color="auto"/>
            </w:tcBorders>
            <w:hideMark/>
          </w:tcPr>
          <w:p w14:paraId="3847DDE8" w14:textId="03AB698A" w:rsidR="0088627A" w:rsidRDefault="0088627A" w:rsidP="0088627A">
            <w:pPr>
              <w:spacing w:before="60" w:after="40"/>
            </w:pPr>
            <w:r w:rsidRPr="005A77D8">
              <w:t xml:space="preserve">Embraces and promotes GWHA’s Code </w:t>
            </w:r>
            <w:proofErr w:type="gramStart"/>
            <w:r w:rsidRPr="005A77D8">
              <w:t>Of</w:t>
            </w:r>
            <w:proofErr w:type="gramEnd"/>
            <w:r w:rsidRPr="005A77D8">
              <w:t xml:space="preserve"> Conduct and values:</w:t>
            </w:r>
            <w:r>
              <w:t xml:space="preserve"> Inclusive, Considerate, Accountable, Resourceful, Ethical (ICARE)</w:t>
            </w:r>
            <w:r w:rsidRPr="005A77D8">
              <w:t>; promoting equality, value, diversity and sustainability</w:t>
            </w:r>
          </w:p>
          <w:p w14:paraId="7C08F745" w14:textId="77777777" w:rsidR="0088627A" w:rsidRDefault="0088627A" w:rsidP="0088627A">
            <w:pPr>
              <w:spacing w:before="60" w:after="40"/>
            </w:pPr>
          </w:p>
        </w:tc>
      </w:tr>
    </w:tbl>
    <w:p w14:paraId="3539A34C" w14:textId="59401EB9" w:rsidR="009B7F6D" w:rsidRDefault="009B7F6D" w:rsidP="00B62F45"/>
    <w:p w14:paraId="0BE78EB4" w14:textId="77777777" w:rsidR="009B7F6D" w:rsidRDefault="009B7F6D">
      <w:pPr>
        <w:spacing w:after="200" w:line="276" w:lineRule="auto"/>
      </w:pPr>
      <w:r>
        <w:br w:type="page"/>
      </w:r>
    </w:p>
    <w:tbl>
      <w:tblPr>
        <w:tblStyle w:val="TableGrid"/>
        <w:tblW w:w="11057" w:type="dxa"/>
        <w:tblInd w:w="-998" w:type="dxa"/>
        <w:tblLook w:val="04A0" w:firstRow="1" w:lastRow="0" w:firstColumn="1" w:lastColumn="0" w:noHBand="0" w:noVBand="1"/>
      </w:tblPr>
      <w:tblGrid>
        <w:gridCol w:w="8648"/>
        <w:gridCol w:w="1275"/>
        <w:gridCol w:w="1134"/>
      </w:tblGrid>
      <w:tr w:rsidR="009B7F6D" w:rsidRPr="00D62029" w14:paraId="1C61FDB3" w14:textId="77777777" w:rsidTr="00893066">
        <w:trPr>
          <w:trHeight w:val="494"/>
        </w:trPr>
        <w:tc>
          <w:tcPr>
            <w:tcW w:w="11057" w:type="dxa"/>
            <w:gridSpan w:val="3"/>
            <w:shd w:val="clear" w:color="auto" w:fill="F2F2F2" w:themeFill="background1" w:themeFillShade="F2"/>
            <w:vAlign w:val="center"/>
          </w:tcPr>
          <w:p w14:paraId="4D5A4DA8" w14:textId="77777777" w:rsidR="009B7F6D" w:rsidRPr="00C945CD" w:rsidRDefault="009B7F6D" w:rsidP="00704520">
            <w:r>
              <w:rPr>
                <w:b/>
              </w:rPr>
              <w:lastRenderedPageBreak/>
              <w:t>PERSON SPECIFICATION</w:t>
            </w:r>
          </w:p>
        </w:tc>
      </w:tr>
      <w:tr w:rsidR="009B7F6D" w:rsidRPr="00D62029" w14:paraId="70FA0650" w14:textId="77777777" w:rsidTr="00704520">
        <w:trPr>
          <w:trHeight w:val="923"/>
        </w:trPr>
        <w:tc>
          <w:tcPr>
            <w:tcW w:w="8648" w:type="dxa"/>
            <w:shd w:val="clear" w:color="auto" w:fill="auto"/>
            <w:vAlign w:val="center"/>
          </w:tcPr>
          <w:p w14:paraId="764E836E" w14:textId="77777777" w:rsidR="009B7F6D" w:rsidRDefault="009B7F6D" w:rsidP="00704520">
            <w:pPr>
              <w:pStyle w:val="NoSpacing"/>
            </w:pPr>
            <w:r>
              <w:t>The right candidate will have the following knowledge and experience.</w:t>
            </w:r>
          </w:p>
          <w:p w14:paraId="3D151723" w14:textId="77777777" w:rsidR="009B7F6D" w:rsidRPr="00847A83" w:rsidRDefault="009B7F6D" w:rsidP="00704520">
            <w:pPr>
              <w:pStyle w:val="NoSpacing"/>
            </w:pPr>
            <w:r>
              <w:t>Where Essential Criteria are not met you must be open to related training opportunities.</w:t>
            </w:r>
          </w:p>
        </w:tc>
        <w:tc>
          <w:tcPr>
            <w:tcW w:w="1275" w:type="dxa"/>
            <w:shd w:val="clear" w:color="auto" w:fill="auto"/>
            <w:vAlign w:val="center"/>
          </w:tcPr>
          <w:p w14:paraId="6D255D13" w14:textId="77777777" w:rsidR="009B7F6D" w:rsidRPr="00C945CD" w:rsidRDefault="009B7F6D" w:rsidP="00704520">
            <w:pPr>
              <w:jc w:val="center"/>
            </w:pPr>
            <w:r w:rsidRPr="00C945CD">
              <w:t>Essential</w:t>
            </w:r>
          </w:p>
        </w:tc>
        <w:tc>
          <w:tcPr>
            <w:tcW w:w="1134" w:type="dxa"/>
            <w:shd w:val="clear" w:color="auto" w:fill="auto"/>
            <w:vAlign w:val="center"/>
          </w:tcPr>
          <w:p w14:paraId="4D70870E" w14:textId="77777777" w:rsidR="009B7F6D" w:rsidRPr="00C945CD" w:rsidRDefault="009B7F6D" w:rsidP="00704520">
            <w:pPr>
              <w:jc w:val="center"/>
            </w:pPr>
            <w:r w:rsidRPr="00C945CD">
              <w:t>Desirable</w:t>
            </w:r>
          </w:p>
        </w:tc>
      </w:tr>
      <w:tr w:rsidR="009B7F6D" w:rsidRPr="00D62029" w14:paraId="6E3638DC" w14:textId="77777777" w:rsidTr="00893066">
        <w:trPr>
          <w:trHeight w:val="553"/>
        </w:trPr>
        <w:tc>
          <w:tcPr>
            <w:tcW w:w="11057" w:type="dxa"/>
            <w:gridSpan w:val="3"/>
            <w:shd w:val="clear" w:color="auto" w:fill="F2F2F2" w:themeFill="background1" w:themeFillShade="F2"/>
            <w:vAlign w:val="center"/>
          </w:tcPr>
          <w:p w14:paraId="42D13049" w14:textId="77777777" w:rsidR="009B7F6D" w:rsidRPr="00C945CD" w:rsidRDefault="009B7F6D" w:rsidP="00704520">
            <w:pPr>
              <w:rPr>
                <w:b/>
                <w:bCs/>
              </w:rPr>
            </w:pPr>
            <w:r w:rsidRPr="00C945CD">
              <w:rPr>
                <w:b/>
                <w:bCs/>
              </w:rPr>
              <w:t>Education, Qualifications &amp; Training</w:t>
            </w:r>
          </w:p>
        </w:tc>
      </w:tr>
      <w:tr w:rsidR="009B7F6D" w:rsidRPr="00D62029" w14:paraId="5D90F835" w14:textId="77777777" w:rsidTr="00704520">
        <w:tc>
          <w:tcPr>
            <w:tcW w:w="8648" w:type="dxa"/>
            <w:shd w:val="clear" w:color="auto" w:fill="auto"/>
          </w:tcPr>
          <w:p w14:paraId="31302FAE" w14:textId="0B351A8B" w:rsidR="009B7F6D" w:rsidRPr="00C945CD" w:rsidRDefault="009B7F6D" w:rsidP="00704520">
            <w:r>
              <w:t>Further Education - Degree in relevant field.</w:t>
            </w:r>
          </w:p>
        </w:tc>
        <w:tc>
          <w:tcPr>
            <w:tcW w:w="1275" w:type="dxa"/>
            <w:shd w:val="clear" w:color="auto" w:fill="auto"/>
          </w:tcPr>
          <w:p w14:paraId="20A20572" w14:textId="77777777" w:rsidR="009B7F6D" w:rsidRPr="00C945CD" w:rsidRDefault="009B7F6D" w:rsidP="00704520">
            <w:pPr>
              <w:jc w:val="center"/>
            </w:pPr>
          </w:p>
        </w:tc>
        <w:tc>
          <w:tcPr>
            <w:tcW w:w="1134" w:type="dxa"/>
            <w:shd w:val="clear" w:color="auto" w:fill="auto"/>
          </w:tcPr>
          <w:p w14:paraId="02B7BB16" w14:textId="77777777" w:rsidR="009B7F6D" w:rsidRPr="00C945CD" w:rsidRDefault="009B7F6D" w:rsidP="00704520">
            <w:pPr>
              <w:jc w:val="center"/>
            </w:pPr>
            <w:r>
              <w:t>X</w:t>
            </w:r>
          </w:p>
        </w:tc>
      </w:tr>
      <w:tr w:rsidR="009B7F6D" w:rsidRPr="00D62029" w14:paraId="3AB7A112" w14:textId="77777777" w:rsidTr="00704520">
        <w:tc>
          <w:tcPr>
            <w:tcW w:w="8648" w:type="dxa"/>
            <w:shd w:val="clear" w:color="auto" w:fill="auto"/>
          </w:tcPr>
          <w:p w14:paraId="1D8EF275" w14:textId="43DEDC8B" w:rsidR="009B7F6D" w:rsidRPr="00C945CD" w:rsidRDefault="009B7F6D" w:rsidP="00704520">
            <w:r>
              <w:t xml:space="preserve">Further Education - </w:t>
            </w:r>
            <w:r w:rsidR="00CE5DE5" w:rsidRPr="00CE5DE5">
              <w:t>SCQF Level 8</w:t>
            </w:r>
            <w:r w:rsidR="00CE5DE5">
              <w:t xml:space="preserve"> (</w:t>
            </w:r>
            <w:r>
              <w:t>HND</w:t>
            </w:r>
            <w:r w:rsidR="00CE5DE5">
              <w:t xml:space="preserve"> or equivalent)</w:t>
            </w:r>
            <w:r>
              <w:t xml:space="preserve"> in relevant field.  </w:t>
            </w:r>
          </w:p>
        </w:tc>
        <w:tc>
          <w:tcPr>
            <w:tcW w:w="1275" w:type="dxa"/>
            <w:shd w:val="clear" w:color="auto" w:fill="auto"/>
          </w:tcPr>
          <w:p w14:paraId="0FF83DE3" w14:textId="77777777" w:rsidR="009B7F6D" w:rsidRPr="00C945CD" w:rsidRDefault="009B7F6D" w:rsidP="00704520">
            <w:pPr>
              <w:jc w:val="center"/>
            </w:pPr>
            <w:r>
              <w:t>X</w:t>
            </w:r>
          </w:p>
        </w:tc>
        <w:tc>
          <w:tcPr>
            <w:tcW w:w="1134" w:type="dxa"/>
            <w:shd w:val="clear" w:color="auto" w:fill="auto"/>
          </w:tcPr>
          <w:p w14:paraId="416AD69A" w14:textId="77777777" w:rsidR="009B7F6D" w:rsidRPr="00C945CD" w:rsidRDefault="009B7F6D" w:rsidP="00704520">
            <w:pPr>
              <w:jc w:val="center"/>
            </w:pPr>
          </w:p>
        </w:tc>
      </w:tr>
      <w:tr w:rsidR="009B7F6D" w:rsidRPr="00D62029" w14:paraId="087FAC54" w14:textId="77777777" w:rsidTr="00704520">
        <w:trPr>
          <w:trHeight w:val="555"/>
        </w:trPr>
        <w:tc>
          <w:tcPr>
            <w:tcW w:w="11057" w:type="dxa"/>
            <w:gridSpan w:val="3"/>
            <w:shd w:val="clear" w:color="auto" w:fill="auto"/>
          </w:tcPr>
          <w:p w14:paraId="31AB0230" w14:textId="77777777" w:rsidR="009B7F6D" w:rsidRPr="00C945CD" w:rsidRDefault="009B7F6D" w:rsidP="00704520">
            <w:r w:rsidRPr="00C945CD">
              <w:rPr>
                <w:b/>
                <w:bCs/>
              </w:rPr>
              <w:t xml:space="preserve">Experience </w:t>
            </w:r>
          </w:p>
        </w:tc>
      </w:tr>
      <w:tr w:rsidR="009B7F6D" w:rsidRPr="00D62029" w14:paraId="4E2BC8DD" w14:textId="77777777" w:rsidTr="00704520">
        <w:tc>
          <w:tcPr>
            <w:tcW w:w="8648" w:type="dxa"/>
            <w:shd w:val="clear" w:color="auto" w:fill="auto"/>
          </w:tcPr>
          <w:p w14:paraId="2502D188" w14:textId="4068DF84" w:rsidR="009B7F6D" w:rsidRPr="00C945CD" w:rsidRDefault="009B7F6D" w:rsidP="00704520">
            <w:r>
              <w:t>M</w:t>
            </w:r>
            <w:r w:rsidRPr="00C945CD">
              <w:t xml:space="preserve">anaging </w:t>
            </w:r>
            <w:r>
              <w:t>at Team and related administration</w:t>
            </w:r>
          </w:p>
        </w:tc>
        <w:tc>
          <w:tcPr>
            <w:tcW w:w="1275" w:type="dxa"/>
            <w:shd w:val="clear" w:color="auto" w:fill="auto"/>
          </w:tcPr>
          <w:p w14:paraId="782D1F07" w14:textId="00C2CE41" w:rsidR="009B7F6D" w:rsidRPr="00C945CD" w:rsidRDefault="009B7F6D" w:rsidP="00704520">
            <w:pPr>
              <w:jc w:val="center"/>
            </w:pPr>
            <w:r>
              <w:t>X</w:t>
            </w:r>
          </w:p>
        </w:tc>
        <w:tc>
          <w:tcPr>
            <w:tcW w:w="1134" w:type="dxa"/>
            <w:shd w:val="clear" w:color="auto" w:fill="auto"/>
          </w:tcPr>
          <w:p w14:paraId="760C3A76" w14:textId="17DC7D62" w:rsidR="009B7F6D" w:rsidRPr="00C945CD" w:rsidRDefault="009B7F6D" w:rsidP="00704520">
            <w:pPr>
              <w:jc w:val="center"/>
            </w:pPr>
          </w:p>
        </w:tc>
      </w:tr>
      <w:tr w:rsidR="009B7F6D" w:rsidRPr="00D62029" w14:paraId="1C9F0670" w14:textId="77777777" w:rsidTr="00704520">
        <w:tc>
          <w:tcPr>
            <w:tcW w:w="8648" w:type="dxa"/>
            <w:shd w:val="clear" w:color="auto" w:fill="auto"/>
          </w:tcPr>
          <w:p w14:paraId="00C593D7" w14:textId="6CC80EC0" w:rsidR="009B7F6D" w:rsidRPr="00C945CD" w:rsidRDefault="009B7F6D" w:rsidP="00704520">
            <w:r>
              <w:t>Managing a Rota</w:t>
            </w:r>
          </w:p>
        </w:tc>
        <w:tc>
          <w:tcPr>
            <w:tcW w:w="1275" w:type="dxa"/>
            <w:shd w:val="clear" w:color="auto" w:fill="auto"/>
          </w:tcPr>
          <w:p w14:paraId="36C55282" w14:textId="540B5709" w:rsidR="009B7F6D" w:rsidRPr="00C945CD" w:rsidRDefault="009B7F6D" w:rsidP="00704520">
            <w:pPr>
              <w:jc w:val="center"/>
            </w:pPr>
          </w:p>
        </w:tc>
        <w:tc>
          <w:tcPr>
            <w:tcW w:w="1134" w:type="dxa"/>
            <w:shd w:val="clear" w:color="auto" w:fill="auto"/>
          </w:tcPr>
          <w:p w14:paraId="4AFB0FEE" w14:textId="170FCBD5" w:rsidR="009B7F6D" w:rsidRPr="00C945CD" w:rsidRDefault="00B46908" w:rsidP="00704520">
            <w:pPr>
              <w:jc w:val="center"/>
            </w:pPr>
            <w:r>
              <w:t>X</w:t>
            </w:r>
          </w:p>
        </w:tc>
      </w:tr>
      <w:tr w:rsidR="009B7F6D" w:rsidRPr="00D62029" w14:paraId="76A62018" w14:textId="77777777" w:rsidTr="00704520">
        <w:tc>
          <w:tcPr>
            <w:tcW w:w="8648" w:type="dxa"/>
            <w:shd w:val="clear" w:color="auto" w:fill="auto"/>
          </w:tcPr>
          <w:p w14:paraId="1BC6BC86" w14:textId="00EFB6CE" w:rsidR="009B7F6D" w:rsidRPr="00C945CD" w:rsidRDefault="009B7F6D" w:rsidP="00704520">
            <w:r>
              <w:t xml:space="preserve">Managing and Working within a budget </w:t>
            </w:r>
          </w:p>
        </w:tc>
        <w:tc>
          <w:tcPr>
            <w:tcW w:w="1275" w:type="dxa"/>
            <w:shd w:val="clear" w:color="auto" w:fill="auto"/>
          </w:tcPr>
          <w:p w14:paraId="323B1F3F" w14:textId="77777777" w:rsidR="009B7F6D" w:rsidRPr="00C945CD" w:rsidRDefault="009B7F6D" w:rsidP="00704520">
            <w:pPr>
              <w:jc w:val="center"/>
            </w:pPr>
          </w:p>
        </w:tc>
        <w:tc>
          <w:tcPr>
            <w:tcW w:w="1134" w:type="dxa"/>
            <w:shd w:val="clear" w:color="auto" w:fill="auto"/>
          </w:tcPr>
          <w:p w14:paraId="212A8111" w14:textId="77777777" w:rsidR="009B7F6D" w:rsidRPr="00C945CD" w:rsidRDefault="009B7F6D" w:rsidP="00704520">
            <w:pPr>
              <w:jc w:val="center"/>
            </w:pPr>
            <w:r>
              <w:t>X</w:t>
            </w:r>
          </w:p>
        </w:tc>
      </w:tr>
      <w:tr w:rsidR="009B7F6D" w:rsidRPr="00D62029" w14:paraId="14BF9704" w14:textId="77777777" w:rsidTr="00704520">
        <w:tc>
          <w:tcPr>
            <w:tcW w:w="8648" w:type="dxa"/>
            <w:shd w:val="clear" w:color="auto" w:fill="auto"/>
          </w:tcPr>
          <w:p w14:paraId="5E2A3E64" w14:textId="4A118A0B" w:rsidR="009B7F6D" w:rsidRPr="00C945CD" w:rsidRDefault="009B7F6D" w:rsidP="00704520">
            <w:r>
              <w:t>Communicating with external customers</w:t>
            </w:r>
          </w:p>
        </w:tc>
        <w:tc>
          <w:tcPr>
            <w:tcW w:w="1275" w:type="dxa"/>
            <w:shd w:val="clear" w:color="auto" w:fill="auto"/>
          </w:tcPr>
          <w:p w14:paraId="15A85DF8" w14:textId="1DE9982C" w:rsidR="009B7F6D" w:rsidRPr="00C945CD" w:rsidRDefault="009B7F6D" w:rsidP="00704520">
            <w:pPr>
              <w:jc w:val="center"/>
            </w:pPr>
            <w:r>
              <w:t>X</w:t>
            </w:r>
          </w:p>
        </w:tc>
        <w:tc>
          <w:tcPr>
            <w:tcW w:w="1134" w:type="dxa"/>
            <w:shd w:val="clear" w:color="auto" w:fill="auto"/>
          </w:tcPr>
          <w:p w14:paraId="7729AC30" w14:textId="257F9119" w:rsidR="009B7F6D" w:rsidRPr="00C945CD" w:rsidRDefault="009B7F6D" w:rsidP="00704520">
            <w:pPr>
              <w:jc w:val="center"/>
            </w:pPr>
          </w:p>
        </w:tc>
      </w:tr>
      <w:tr w:rsidR="00B46908" w:rsidRPr="00D62029" w14:paraId="12C2FD5F" w14:textId="77777777" w:rsidTr="00704520">
        <w:tc>
          <w:tcPr>
            <w:tcW w:w="8648" w:type="dxa"/>
            <w:shd w:val="clear" w:color="auto" w:fill="auto"/>
          </w:tcPr>
          <w:p w14:paraId="26127CEA" w14:textId="337773BF" w:rsidR="00B46908" w:rsidRDefault="00B46908" w:rsidP="00704520">
            <w:r>
              <w:t xml:space="preserve">Complaint Handling experience </w:t>
            </w:r>
          </w:p>
        </w:tc>
        <w:tc>
          <w:tcPr>
            <w:tcW w:w="1275" w:type="dxa"/>
            <w:shd w:val="clear" w:color="auto" w:fill="auto"/>
          </w:tcPr>
          <w:p w14:paraId="2E4EE444" w14:textId="77777777" w:rsidR="00B46908" w:rsidRDefault="00B46908" w:rsidP="00704520">
            <w:pPr>
              <w:jc w:val="center"/>
            </w:pPr>
          </w:p>
        </w:tc>
        <w:tc>
          <w:tcPr>
            <w:tcW w:w="1134" w:type="dxa"/>
            <w:shd w:val="clear" w:color="auto" w:fill="auto"/>
          </w:tcPr>
          <w:p w14:paraId="2397D494" w14:textId="5057CAAF" w:rsidR="00B46908" w:rsidRPr="00C945CD" w:rsidRDefault="00B46908" w:rsidP="00704520">
            <w:pPr>
              <w:jc w:val="center"/>
            </w:pPr>
            <w:r>
              <w:t>X</w:t>
            </w:r>
          </w:p>
        </w:tc>
      </w:tr>
      <w:tr w:rsidR="00B46908" w:rsidRPr="00D62029" w14:paraId="6AE2BCCA" w14:textId="77777777" w:rsidTr="00704520">
        <w:tc>
          <w:tcPr>
            <w:tcW w:w="8648" w:type="dxa"/>
            <w:shd w:val="clear" w:color="auto" w:fill="auto"/>
          </w:tcPr>
          <w:p w14:paraId="707F566D" w14:textId="3D1095F6" w:rsidR="00B46908" w:rsidRDefault="00B46908" w:rsidP="00704520">
            <w:r>
              <w:t>Contractor Management</w:t>
            </w:r>
          </w:p>
        </w:tc>
        <w:tc>
          <w:tcPr>
            <w:tcW w:w="1275" w:type="dxa"/>
            <w:shd w:val="clear" w:color="auto" w:fill="auto"/>
          </w:tcPr>
          <w:p w14:paraId="60238975" w14:textId="77777777" w:rsidR="00B46908" w:rsidRDefault="00B46908" w:rsidP="00704520">
            <w:pPr>
              <w:jc w:val="center"/>
            </w:pPr>
          </w:p>
        </w:tc>
        <w:tc>
          <w:tcPr>
            <w:tcW w:w="1134" w:type="dxa"/>
            <w:shd w:val="clear" w:color="auto" w:fill="auto"/>
          </w:tcPr>
          <w:p w14:paraId="4E5D4311" w14:textId="43F0C564" w:rsidR="00B46908" w:rsidRDefault="00B46908" w:rsidP="00704520">
            <w:pPr>
              <w:jc w:val="center"/>
            </w:pPr>
            <w:r>
              <w:t>X</w:t>
            </w:r>
          </w:p>
        </w:tc>
      </w:tr>
      <w:tr w:rsidR="009B7F6D" w:rsidRPr="00D62029" w14:paraId="47BC4C5B" w14:textId="77777777" w:rsidTr="00704520">
        <w:tc>
          <w:tcPr>
            <w:tcW w:w="8648" w:type="dxa"/>
            <w:shd w:val="clear" w:color="auto" w:fill="auto"/>
          </w:tcPr>
          <w:p w14:paraId="15112562" w14:textId="08D4BDB4" w:rsidR="009B7F6D" w:rsidRPr="00C945CD" w:rsidRDefault="009B7F6D" w:rsidP="00704520">
            <w:r>
              <w:t>Setting standards and expectations in relation to service areas</w:t>
            </w:r>
          </w:p>
        </w:tc>
        <w:tc>
          <w:tcPr>
            <w:tcW w:w="1275" w:type="dxa"/>
            <w:shd w:val="clear" w:color="auto" w:fill="auto"/>
          </w:tcPr>
          <w:p w14:paraId="4DD3EB88" w14:textId="5E4F1035" w:rsidR="009B7F6D" w:rsidRPr="00C945CD" w:rsidRDefault="009B7F6D" w:rsidP="00704520">
            <w:pPr>
              <w:jc w:val="center"/>
            </w:pPr>
          </w:p>
        </w:tc>
        <w:tc>
          <w:tcPr>
            <w:tcW w:w="1134" w:type="dxa"/>
            <w:shd w:val="clear" w:color="auto" w:fill="auto"/>
          </w:tcPr>
          <w:p w14:paraId="55FF8C75" w14:textId="77777777" w:rsidR="009B7F6D" w:rsidRPr="00C945CD" w:rsidRDefault="009B7F6D" w:rsidP="00704520">
            <w:pPr>
              <w:jc w:val="center"/>
            </w:pPr>
            <w:r>
              <w:t>X</w:t>
            </w:r>
          </w:p>
        </w:tc>
      </w:tr>
      <w:tr w:rsidR="009B7F6D" w:rsidRPr="00D62029" w14:paraId="09EE14AC" w14:textId="77777777" w:rsidTr="00704520">
        <w:tc>
          <w:tcPr>
            <w:tcW w:w="8648" w:type="dxa"/>
            <w:shd w:val="clear" w:color="auto" w:fill="auto"/>
          </w:tcPr>
          <w:p w14:paraId="026805AE" w14:textId="77777777" w:rsidR="009B7F6D" w:rsidRPr="00C945CD" w:rsidRDefault="009B7F6D" w:rsidP="00704520">
            <w:r w:rsidRPr="00C945CD">
              <w:t>Agree to undertake and complete any training required</w:t>
            </w:r>
          </w:p>
        </w:tc>
        <w:tc>
          <w:tcPr>
            <w:tcW w:w="1275" w:type="dxa"/>
            <w:shd w:val="clear" w:color="auto" w:fill="auto"/>
          </w:tcPr>
          <w:p w14:paraId="6BAE8B9F" w14:textId="77777777" w:rsidR="009B7F6D" w:rsidRPr="00C945CD" w:rsidRDefault="009B7F6D" w:rsidP="00704520">
            <w:pPr>
              <w:jc w:val="center"/>
            </w:pPr>
            <w:r>
              <w:t>X</w:t>
            </w:r>
          </w:p>
        </w:tc>
        <w:tc>
          <w:tcPr>
            <w:tcW w:w="1134" w:type="dxa"/>
            <w:shd w:val="clear" w:color="auto" w:fill="auto"/>
          </w:tcPr>
          <w:p w14:paraId="222F416F" w14:textId="77777777" w:rsidR="009B7F6D" w:rsidRPr="00C945CD" w:rsidRDefault="009B7F6D" w:rsidP="00704520">
            <w:pPr>
              <w:jc w:val="center"/>
            </w:pPr>
          </w:p>
        </w:tc>
      </w:tr>
      <w:tr w:rsidR="009B7F6D" w:rsidRPr="00D62029" w14:paraId="2A2F7F6A" w14:textId="77777777" w:rsidTr="00893066">
        <w:trPr>
          <w:trHeight w:val="687"/>
        </w:trPr>
        <w:tc>
          <w:tcPr>
            <w:tcW w:w="11057" w:type="dxa"/>
            <w:gridSpan w:val="3"/>
            <w:shd w:val="clear" w:color="auto" w:fill="F2F2F2" w:themeFill="background1" w:themeFillShade="F2"/>
            <w:vAlign w:val="center"/>
          </w:tcPr>
          <w:p w14:paraId="0D9BB9B1" w14:textId="77777777" w:rsidR="009B7F6D" w:rsidRPr="00C945CD" w:rsidRDefault="009B7F6D" w:rsidP="00704520">
            <w:r w:rsidRPr="00C945CD">
              <w:rPr>
                <w:b/>
                <w:bCs/>
              </w:rPr>
              <w:t xml:space="preserve">Knowledge </w:t>
            </w:r>
          </w:p>
        </w:tc>
      </w:tr>
      <w:tr w:rsidR="009B7F6D" w:rsidRPr="00D62029" w14:paraId="4A7D73F3" w14:textId="77777777" w:rsidTr="00704520">
        <w:tc>
          <w:tcPr>
            <w:tcW w:w="8648" w:type="dxa"/>
            <w:shd w:val="clear" w:color="auto" w:fill="auto"/>
          </w:tcPr>
          <w:p w14:paraId="7B37BD40" w14:textId="06D16227" w:rsidR="009B7F6D" w:rsidRPr="00C945CD" w:rsidRDefault="009B7F6D" w:rsidP="009B7F6D">
            <w:r w:rsidRPr="00C945CD">
              <w:t xml:space="preserve">Knowledge and understanding of </w:t>
            </w:r>
            <w:r>
              <w:t xml:space="preserve">relevant </w:t>
            </w:r>
            <w:r w:rsidRPr="00C945CD">
              <w:t xml:space="preserve">Health and Safety Legislation </w:t>
            </w:r>
            <w:r>
              <w:t xml:space="preserve">/ </w:t>
            </w:r>
            <w:r w:rsidRPr="00C945CD">
              <w:t>Regulation</w:t>
            </w:r>
            <w:r>
              <w:t>s</w:t>
            </w:r>
            <w:r w:rsidRPr="00C945CD">
              <w:t xml:space="preserve"> </w:t>
            </w:r>
            <w:r>
              <w:t xml:space="preserve">as they apply </w:t>
            </w:r>
            <w:r w:rsidRPr="00C945CD">
              <w:t xml:space="preserve">(e.g. </w:t>
            </w:r>
            <w:r>
              <w:t xml:space="preserve">Health &amp; Safety at Work Act, Manual Handling, </w:t>
            </w:r>
            <w:proofErr w:type="spellStart"/>
            <w:r>
              <w:t>CoSHH</w:t>
            </w:r>
            <w:proofErr w:type="spellEnd"/>
            <w:r>
              <w:t>, CDM</w:t>
            </w:r>
            <w:r w:rsidRPr="00C945CD">
              <w:t xml:space="preserve"> etc.)</w:t>
            </w:r>
          </w:p>
        </w:tc>
        <w:tc>
          <w:tcPr>
            <w:tcW w:w="1275" w:type="dxa"/>
            <w:shd w:val="clear" w:color="auto" w:fill="auto"/>
          </w:tcPr>
          <w:p w14:paraId="246445D9" w14:textId="77777777" w:rsidR="009B7F6D" w:rsidRPr="00C945CD" w:rsidRDefault="009B7F6D" w:rsidP="00704520">
            <w:pPr>
              <w:jc w:val="center"/>
            </w:pPr>
            <w:r>
              <w:t>X</w:t>
            </w:r>
          </w:p>
        </w:tc>
        <w:tc>
          <w:tcPr>
            <w:tcW w:w="1134" w:type="dxa"/>
            <w:shd w:val="clear" w:color="auto" w:fill="auto"/>
          </w:tcPr>
          <w:p w14:paraId="35D86A94" w14:textId="77777777" w:rsidR="009B7F6D" w:rsidRPr="00C945CD" w:rsidRDefault="009B7F6D" w:rsidP="00704520">
            <w:pPr>
              <w:jc w:val="center"/>
            </w:pPr>
          </w:p>
        </w:tc>
      </w:tr>
      <w:tr w:rsidR="009B7F6D" w:rsidRPr="00D62029" w14:paraId="4FD5E77B" w14:textId="77777777" w:rsidTr="00704520">
        <w:tc>
          <w:tcPr>
            <w:tcW w:w="8648" w:type="dxa"/>
            <w:shd w:val="clear" w:color="auto" w:fill="auto"/>
          </w:tcPr>
          <w:p w14:paraId="2B8AA58A" w14:textId="77777777" w:rsidR="009B7F6D" w:rsidRPr="00C945CD" w:rsidRDefault="009B7F6D" w:rsidP="00704520">
            <w:r w:rsidRPr="00C945CD">
              <w:t>Understanding of the role of Factoring within the Housing Association or private sector</w:t>
            </w:r>
          </w:p>
        </w:tc>
        <w:tc>
          <w:tcPr>
            <w:tcW w:w="1275" w:type="dxa"/>
            <w:shd w:val="clear" w:color="auto" w:fill="auto"/>
          </w:tcPr>
          <w:p w14:paraId="00FD7BC0" w14:textId="77777777" w:rsidR="009B7F6D" w:rsidRPr="00C945CD" w:rsidRDefault="009B7F6D" w:rsidP="00704520">
            <w:pPr>
              <w:jc w:val="center"/>
            </w:pPr>
          </w:p>
        </w:tc>
        <w:tc>
          <w:tcPr>
            <w:tcW w:w="1134" w:type="dxa"/>
            <w:shd w:val="clear" w:color="auto" w:fill="auto"/>
          </w:tcPr>
          <w:p w14:paraId="178120D9" w14:textId="77777777" w:rsidR="009B7F6D" w:rsidRPr="00C945CD" w:rsidRDefault="009B7F6D" w:rsidP="00704520">
            <w:pPr>
              <w:jc w:val="center"/>
            </w:pPr>
            <w:r>
              <w:t>X</w:t>
            </w:r>
          </w:p>
        </w:tc>
      </w:tr>
      <w:tr w:rsidR="009B7F6D" w:rsidRPr="00D62029" w14:paraId="69CE238A" w14:textId="77777777" w:rsidTr="00704520">
        <w:tc>
          <w:tcPr>
            <w:tcW w:w="8648" w:type="dxa"/>
            <w:shd w:val="clear" w:color="auto" w:fill="auto"/>
          </w:tcPr>
          <w:p w14:paraId="5C1E41AF" w14:textId="77777777" w:rsidR="009B7F6D" w:rsidRPr="00C945CD" w:rsidRDefault="009B7F6D" w:rsidP="00704520">
            <w:r w:rsidRPr="00C945CD">
              <w:t>Understanding of public sector procurement processes</w:t>
            </w:r>
          </w:p>
        </w:tc>
        <w:tc>
          <w:tcPr>
            <w:tcW w:w="1275" w:type="dxa"/>
            <w:shd w:val="clear" w:color="auto" w:fill="auto"/>
          </w:tcPr>
          <w:p w14:paraId="0FCAB4EA" w14:textId="77777777" w:rsidR="009B7F6D" w:rsidRPr="00C945CD" w:rsidRDefault="009B7F6D" w:rsidP="00704520">
            <w:pPr>
              <w:jc w:val="center"/>
            </w:pPr>
          </w:p>
        </w:tc>
        <w:tc>
          <w:tcPr>
            <w:tcW w:w="1134" w:type="dxa"/>
            <w:shd w:val="clear" w:color="auto" w:fill="auto"/>
          </w:tcPr>
          <w:p w14:paraId="6E8B1C6B" w14:textId="77777777" w:rsidR="009B7F6D" w:rsidRPr="00C945CD" w:rsidRDefault="009B7F6D" w:rsidP="00704520">
            <w:pPr>
              <w:jc w:val="center"/>
            </w:pPr>
            <w:r>
              <w:t>X</w:t>
            </w:r>
          </w:p>
        </w:tc>
      </w:tr>
      <w:tr w:rsidR="009B7F6D" w:rsidRPr="00D62029" w14:paraId="612FBC11" w14:textId="77777777" w:rsidTr="00704520">
        <w:tc>
          <w:tcPr>
            <w:tcW w:w="8648" w:type="dxa"/>
            <w:shd w:val="clear" w:color="auto" w:fill="auto"/>
          </w:tcPr>
          <w:p w14:paraId="243649EA" w14:textId="77777777" w:rsidR="009B7F6D" w:rsidRPr="00C945CD" w:rsidRDefault="009B7F6D" w:rsidP="00704520">
            <w:r w:rsidRPr="00C945CD">
              <w:t>Understanding of standard construction contract documentation</w:t>
            </w:r>
          </w:p>
        </w:tc>
        <w:tc>
          <w:tcPr>
            <w:tcW w:w="1275" w:type="dxa"/>
            <w:shd w:val="clear" w:color="auto" w:fill="auto"/>
          </w:tcPr>
          <w:p w14:paraId="51BE553F" w14:textId="0E2791E1" w:rsidR="009B7F6D" w:rsidRPr="00C945CD" w:rsidRDefault="009B7F6D" w:rsidP="00704520">
            <w:pPr>
              <w:jc w:val="center"/>
            </w:pPr>
          </w:p>
        </w:tc>
        <w:tc>
          <w:tcPr>
            <w:tcW w:w="1134" w:type="dxa"/>
            <w:shd w:val="clear" w:color="auto" w:fill="auto"/>
          </w:tcPr>
          <w:p w14:paraId="0DD9376B" w14:textId="1F1422C8" w:rsidR="009B7F6D" w:rsidRPr="00C945CD" w:rsidRDefault="00B46908" w:rsidP="00704520">
            <w:pPr>
              <w:jc w:val="center"/>
            </w:pPr>
            <w:r>
              <w:t>X</w:t>
            </w:r>
          </w:p>
        </w:tc>
      </w:tr>
      <w:tr w:rsidR="009B7F6D" w:rsidRPr="00D62029" w14:paraId="0A6345DE" w14:textId="77777777" w:rsidTr="00893066">
        <w:trPr>
          <w:trHeight w:val="697"/>
        </w:trPr>
        <w:tc>
          <w:tcPr>
            <w:tcW w:w="11057" w:type="dxa"/>
            <w:gridSpan w:val="3"/>
            <w:shd w:val="clear" w:color="auto" w:fill="F2F2F2" w:themeFill="background1" w:themeFillShade="F2"/>
            <w:vAlign w:val="center"/>
          </w:tcPr>
          <w:p w14:paraId="7F4EBADA" w14:textId="77777777" w:rsidR="009B7F6D" w:rsidRPr="00C945CD" w:rsidRDefault="009B7F6D" w:rsidP="00704520">
            <w:r w:rsidRPr="00C945CD">
              <w:rPr>
                <w:b/>
                <w:bCs/>
              </w:rPr>
              <w:t xml:space="preserve">Skills and Abilities </w:t>
            </w:r>
          </w:p>
        </w:tc>
      </w:tr>
      <w:tr w:rsidR="009B7F6D" w:rsidRPr="00D62029" w14:paraId="65CC89AA" w14:textId="77777777" w:rsidTr="00704520">
        <w:tc>
          <w:tcPr>
            <w:tcW w:w="8648" w:type="dxa"/>
            <w:shd w:val="clear" w:color="auto" w:fill="auto"/>
          </w:tcPr>
          <w:p w14:paraId="1D7C151D" w14:textId="77777777" w:rsidR="009B7F6D" w:rsidRPr="00C945CD" w:rsidRDefault="009B7F6D" w:rsidP="00704520">
            <w:pPr>
              <w:pStyle w:val="Default"/>
              <w:rPr>
                <w:rFonts w:ascii="Arial Narrow" w:hAnsi="Arial Narrow"/>
              </w:rPr>
            </w:pPr>
            <w:r w:rsidRPr="00C945CD">
              <w:rPr>
                <w:rFonts w:ascii="Arial Narrow" w:hAnsi="Arial Narrow"/>
              </w:rPr>
              <w:t xml:space="preserve">Excellent attention to detail and ability to work to tight deadlines </w:t>
            </w:r>
          </w:p>
        </w:tc>
        <w:tc>
          <w:tcPr>
            <w:tcW w:w="1275" w:type="dxa"/>
            <w:shd w:val="clear" w:color="auto" w:fill="auto"/>
            <w:vAlign w:val="center"/>
          </w:tcPr>
          <w:p w14:paraId="3C42CD9B" w14:textId="77777777" w:rsidR="009B7F6D" w:rsidRPr="00C945CD" w:rsidRDefault="009B7F6D" w:rsidP="00704520">
            <w:pPr>
              <w:jc w:val="center"/>
            </w:pPr>
            <w:r>
              <w:t>X</w:t>
            </w:r>
          </w:p>
        </w:tc>
        <w:tc>
          <w:tcPr>
            <w:tcW w:w="1134" w:type="dxa"/>
            <w:shd w:val="clear" w:color="auto" w:fill="auto"/>
            <w:vAlign w:val="center"/>
          </w:tcPr>
          <w:p w14:paraId="69D68581" w14:textId="77777777" w:rsidR="009B7F6D" w:rsidRPr="00C945CD" w:rsidRDefault="009B7F6D" w:rsidP="00704520">
            <w:pPr>
              <w:jc w:val="center"/>
            </w:pPr>
          </w:p>
        </w:tc>
      </w:tr>
      <w:tr w:rsidR="009B7F6D" w:rsidRPr="00D62029" w14:paraId="25BFA078" w14:textId="77777777" w:rsidTr="00704520">
        <w:tc>
          <w:tcPr>
            <w:tcW w:w="8648" w:type="dxa"/>
            <w:shd w:val="clear" w:color="auto" w:fill="auto"/>
          </w:tcPr>
          <w:p w14:paraId="72CA3CDC" w14:textId="77777777" w:rsidR="009B7F6D" w:rsidRPr="00C945CD" w:rsidRDefault="009B7F6D" w:rsidP="00704520">
            <w:r w:rsidRPr="00C945CD">
              <w:t>Excellent interpersonal, and communication skills both written and verbal</w:t>
            </w:r>
          </w:p>
        </w:tc>
        <w:tc>
          <w:tcPr>
            <w:tcW w:w="1275" w:type="dxa"/>
            <w:shd w:val="clear" w:color="auto" w:fill="auto"/>
            <w:vAlign w:val="center"/>
          </w:tcPr>
          <w:p w14:paraId="538DB8A9" w14:textId="77777777" w:rsidR="009B7F6D" w:rsidRPr="00C945CD" w:rsidRDefault="009B7F6D" w:rsidP="00704520">
            <w:pPr>
              <w:jc w:val="center"/>
            </w:pPr>
            <w:r>
              <w:t>X</w:t>
            </w:r>
          </w:p>
        </w:tc>
        <w:tc>
          <w:tcPr>
            <w:tcW w:w="1134" w:type="dxa"/>
            <w:shd w:val="clear" w:color="auto" w:fill="auto"/>
            <w:vAlign w:val="center"/>
          </w:tcPr>
          <w:p w14:paraId="7EF2053B" w14:textId="77777777" w:rsidR="009B7F6D" w:rsidRPr="00C945CD" w:rsidRDefault="009B7F6D" w:rsidP="00704520">
            <w:pPr>
              <w:jc w:val="center"/>
            </w:pPr>
          </w:p>
        </w:tc>
      </w:tr>
      <w:tr w:rsidR="009B7F6D" w:rsidRPr="00D62029" w14:paraId="70A37DF4" w14:textId="77777777" w:rsidTr="00704520">
        <w:tc>
          <w:tcPr>
            <w:tcW w:w="8648" w:type="dxa"/>
            <w:shd w:val="clear" w:color="auto" w:fill="auto"/>
          </w:tcPr>
          <w:p w14:paraId="437BF522" w14:textId="77777777" w:rsidR="009B7F6D" w:rsidRPr="00C945CD" w:rsidRDefault="009B7F6D" w:rsidP="00704520">
            <w:pPr>
              <w:pStyle w:val="Default"/>
              <w:rPr>
                <w:rFonts w:ascii="Arial Narrow" w:hAnsi="Arial Narrow"/>
              </w:rPr>
            </w:pPr>
            <w:r w:rsidRPr="00C945CD">
              <w:rPr>
                <w:rFonts w:ascii="Arial Narrow" w:hAnsi="Arial Narrow"/>
              </w:rPr>
              <w:t xml:space="preserve">Ability to work with minimum supervision with good planning and organisational abilities </w:t>
            </w:r>
          </w:p>
        </w:tc>
        <w:tc>
          <w:tcPr>
            <w:tcW w:w="1275" w:type="dxa"/>
            <w:shd w:val="clear" w:color="auto" w:fill="auto"/>
            <w:vAlign w:val="center"/>
          </w:tcPr>
          <w:p w14:paraId="0577F584" w14:textId="77777777" w:rsidR="009B7F6D" w:rsidRPr="00C945CD" w:rsidRDefault="009B7F6D" w:rsidP="00704520">
            <w:pPr>
              <w:jc w:val="center"/>
            </w:pPr>
            <w:r>
              <w:t>X</w:t>
            </w:r>
          </w:p>
        </w:tc>
        <w:tc>
          <w:tcPr>
            <w:tcW w:w="1134" w:type="dxa"/>
            <w:shd w:val="clear" w:color="auto" w:fill="auto"/>
            <w:vAlign w:val="center"/>
          </w:tcPr>
          <w:p w14:paraId="66128C76" w14:textId="77777777" w:rsidR="009B7F6D" w:rsidRPr="00C945CD" w:rsidRDefault="009B7F6D" w:rsidP="00704520">
            <w:pPr>
              <w:jc w:val="center"/>
            </w:pPr>
          </w:p>
        </w:tc>
      </w:tr>
      <w:tr w:rsidR="009B7F6D" w:rsidRPr="00D62029" w14:paraId="646046B5" w14:textId="77777777" w:rsidTr="00704520">
        <w:tc>
          <w:tcPr>
            <w:tcW w:w="8648" w:type="dxa"/>
            <w:shd w:val="clear" w:color="auto" w:fill="auto"/>
          </w:tcPr>
          <w:p w14:paraId="4B23F9D8" w14:textId="77777777" w:rsidR="009B7F6D" w:rsidRPr="00C945CD" w:rsidRDefault="009B7F6D" w:rsidP="00704520">
            <w:r w:rsidRPr="00C945CD">
              <w:t>An effective team player who can cope with a diverse and complex workload, changing circumstances and demands</w:t>
            </w:r>
          </w:p>
        </w:tc>
        <w:tc>
          <w:tcPr>
            <w:tcW w:w="1275" w:type="dxa"/>
            <w:shd w:val="clear" w:color="auto" w:fill="auto"/>
            <w:vAlign w:val="center"/>
          </w:tcPr>
          <w:p w14:paraId="3E34A537" w14:textId="77777777" w:rsidR="009B7F6D" w:rsidRPr="00C945CD" w:rsidRDefault="009B7F6D" w:rsidP="00704520">
            <w:pPr>
              <w:jc w:val="center"/>
            </w:pPr>
            <w:r>
              <w:t>X</w:t>
            </w:r>
          </w:p>
        </w:tc>
        <w:tc>
          <w:tcPr>
            <w:tcW w:w="1134" w:type="dxa"/>
            <w:shd w:val="clear" w:color="auto" w:fill="auto"/>
            <w:vAlign w:val="center"/>
          </w:tcPr>
          <w:p w14:paraId="04B30F58" w14:textId="77777777" w:rsidR="009B7F6D" w:rsidRPr="00C945CD" w:rsidRDefault="009B7F6D" w:rsidP="00704520">
            <w:pPr>
              <w:jc w:val="center"/>
            </w:pPr>
          </w:p>
        </w:tc>
      </w:tr>
      <w:tr w:rsidR="009B7F6D" w:rsidRPr="00D62029" w14:paraId="1D121448" w14:textId="77777777" w:rsidTr="00704520">
        <w:tc>
          <w:tcPr>
            <w:tcW w:w="8648" w:type="dxa"/>
            <w:shd w:val="clear" w:color="auto" w:fill="auto"/>
          </w:tcPr>
          <w:p w14:paraId="5C85803E" w14:textId="77777777" w:rsidR="009B7F6D" w:rsidRPr="00C945CD" w:rsidRDefault="009B7F6D" w:rsidP="00704520">
            <w:pPr>
              <w:pStyle w:val="Default"/>
              <w:rPr>
                <w:rFonts w:ascii="Arial Narrow" w:hAnsi="Arial Narrow"/>
              </w:rPr>
            </w:pPr>
            <w:r w:rsidRPr="00C945CD">
              <w:rPr>
                <w:rFonts w:ascii="Arial Narrow" w:hAnsi="Arial Narrow"/>
              </w:rPr>
              <w:t xml:space="preserve">Excellent customer care skills and a customer focused approach to service delivery </w:t>
            </w:r>
          </w:p>
        </w:tc>
        <w:tc>
          <w:tcPr>
            <w:tcW w:w="1275" w:type="dxa"/>
            <w:shd w:val="clear" w:color="auto" w:fill="auto"/>
            <w:vAlign w:val="center"/>
          </w:tcPr>
          <w:p w14:paraId="0895B959" w14:textId="77777777" w:rsidR="009B7F6D" w:rsidRPr="00C945CD" w:rsidRDefault="009B7F6D" w:rsidP="00704520">
            <w:pPr>
              <w:jc w:val="center"/>
            </w:pPr>
            <w:r>
              <w:t>X</w:t>
            </w:r>
          </w:p>
        </w:tc>
        <w:tc>
          <w:tcPr>
            <w:tcW w:w="1134" w:type="dxa"/>
            <w:shd w:val="clear" w:color="auto" w:fill="auto"/>
            <w:vAlign w:val="center"/>
          </w:tcPr>
          <w:p w14:paraId="72F4313E" w14:textId="77777777" w:rsidR="009B7F6D" w:rsidRPr="00C945CD" w:rsidRDefault="009B7F6D" w:rsidP="00704520">
            <w:pPr>
              <w:jc w:val="center"/>
            </w:pPr>
          </w:p>
        </w:tc>
      </w:tr>
      <w:tr w:rsidR="009B7F6D" w:rsidRPr="00D62029" w14:paraId="3A4B20C7" w14:textId="77777777" w:rsidTr="00704520">
        <w:tc>
          <w:tcPr>
            <w:tcW w:w="8648" w:type="dxa"/>
            <w:shd w:val="clear" w:color="auto" w:fill="auto"/>
          </w:tcPr>
          <w:p w14:paraId="59A0D244" w14:textId="77777777" w:rsidR="009B7F6D" w:rsidRPr="00C945CD" w:rsidRDefault="009B7F6D" w:rsidP="00704520">
            <w:pPr>
              <w:pStyle w:val="Default"/>
              <w:rPr>
                <w:rFonts w:ascii="Arial Narrow" w:hAnsi="Arial Narrow"/>
              </w:rPr>
            </w:pPr>
            <w:r w:rsidRPr="00C945CD">
              <w:rPr>
                <w:rFonts w:ascii="Arial Narrow" w:hAnsi="Arial Narrow"/>
              </w:rPr>
              <w:t xml:space="preserve">Effective problem solving and </w:t>
            </w:r>
            <w:proofErr w:type="gramStart"/>
            <w:r w:rsidRPr="00C945CD">
              <w:rPr>
                <w:rFonts w:ascii="Arial Narrow" w:hAnsi="Arial Narrow"/>
              </w:rPr>
              <w:t>decision making</w:t>
            </w:r>
            <w:proofErr w:type="gramEnd"/>
            <w:r w:rsidRPr="00C945CD">
              <w:rPr>
                <w:rFonts w:ascii="Arial Narrow" w:hAnsi="Arial Narrow"/>
              </w:rPr>
              <w:t xml:space="preserve"> skills </w:t>
            </w:r>
          </w:p>
        </w:tc>
        <w:tc>
          <w:tcPr>
            <w:tcW w:w="1275" w:type="dxa"/>
            <w:shd w:val="clear" w:color="auto" w:fill="auto"/>
            <w:vAlign w:val="center"/>
          </w:tcPr>
          <w:p w14:paraId="09AF58D1" w14:textId="77777777" w:rsidR="009B7F6D" w:rsidRPr="00C945CD" w:rsidRDefault="009B7F6D" w:rsidP="00704520">
            <w:pPr>
              <w:jc w:val="center"/>
            </w:pPr>
            <w:r>
              <w:t>X</w:t>
            </w:r>
          </w:p>
        </w:tc>
        <w:tc>
          <w:tcPr>
            <w:tcW w:w="1134" w:type="dxa"/>
            <w:shd w:val="clear" w:color="auto" w:fill="auto"/>
            <w:vAlign w:val="center"/>
          </w:tcPr>
          <w:p w14:paraId="26EF02CC" w14:textId="77777777" w:rsidR="009B7F6D" w:rsidRPr="00C945CD" w:rsidRDefault="009B7F6D" w:rsidP="00704520">
            <w:pPr>
              <w:jc w:val="center"/>
            </w:pPr>
          </w:p>
        </w:tc>
      </w:tr>
      <w:tr w:rsidR="009B7F6D" w:rsidRPr="00D62029" w14:paraId="2A7902B3" w14:textId="77777777" w:rsidTr="00704520">
        <w:tc>
          <w:tcPr>
            <w:tcW w:w="8648" w:type="dxa"/>
            <w:shd w:val="clear" w:color="auto" w:fill="auto"/>
          </w:tcPr>
          <w:p w14:paraId="6F3555DF" w14:textId="77777777" w:rsidR="009B7F6D" w:rsidRPr="00C945CD" w:rsidRDefault="009B7F6D" w:rsidP="00704520">
            <w:pPr>
              <w:pStyle w:val="Default"/>
              <w:rPr>
                <w:rFonts w:ascii="Arial Narrow" w:hAnsi="Arial Narrow"/>
              </w:rPr>
            </w:pPr>
            <w:r w:rsidRPr="00C945CD">
              <w:rPr>
                <w:rFonts w:ascii="Arial Narrow" w:hAnsi="Arial Narrow"/>
              </w:rPr>
              <w:t xml:space="preserve">Ability to develop and sustain good working relationships with external agencies and partners </w:t>
            </w:r>
          </w:p>
        </w:tc>
        <w:tc>
          <w:tcPr>
            <w:tcW w:w="1275" w:type="dxa"/>
            <w:shd w:val="clear" w:color="auto" w:fill="auto"/>
            <w:vAlign w:val="center"/>
          </w:tcPr>
          <w:p w14:paraId="6C2C3535" w14:textId="77777777" w:rsidR="009B7F6D" w:rsidRPr="00C945CD" w:rsidRDefault="009B7F6D" w:rsidP="00704520">
            <w:pPr>
              <w:jc w:val="center"/>
            </w:pPr>
            <w:r>
              <w:t>X</w:t>
            </w:r>
          </w:p>
        </w:tc>
        <w:tc>
          <w:tcPr>
            <w:tcW w:w="1134" w:type="dxa"/>
            <w:shd w:val="clear" w:color="auto" w:fill="auto"/>
            <w:vAlign w:val="center"/>
          </w:tcPr>
          <w:p w14:paraId="7702335A" w14:textId="77777777" w:rsidR="009B7F6D" w:rsidRPr="00C945CD" w:rsidRDefault="009B7F6D" w:rsidP="00704520">
            <w:pPr>
              <w:jc w:val="center"/>
            </w:pPr>
          </w:p>
        </w:tc>
      </w:tr>
      <w:tr w:rsidR="009B7F6D" w:rsidRPr="00D62029" w14:paraId="16B6A184" w14:textId="77777777" w:rsidTr="00704520">
        <w:tc>
          <w:tcPr>
            <w:tcW w:w="8648" w:type="dxa"/>
            <w:shd w:val="clear" w:color="auto" w:fill="auto"/>
          </w:tcPr>
          <w:p w14:paraId="7F69625E" w14:textId="77777777" w:rsidR="009B7F6D" w:rsidRPr="00C945CD" w:rsidRDefault="009B7F6D" w:rsidP="00704520">
            <w:pPr>
              <w:pStyle w:val="Default"/>
              <w:rPr>
                <w:rFonts w:ascii="Arial Narrow" w:hAnsi="Arial Narrow"/>
              </w:rPr>
            </w:pPr>
            <w:r w:rsidRPr="00C945CD">
              <w:rPr>
                <w:rFonts w:ascii="Arial Narrow" w:hAnsi="Arial Narrow"/>
              </w:rPr>
              <w:t xml:space="preserve">Numerate and IT literate with a good knowledge of Microsoft Office (for example, Microsoft Word, PowerPoint and Excel) </w:t>
            </w:r>
          </w:p>
        </w:tc>
        <w:tc>
          <w:tcPr>
            <w:tcW w:w="1275" w:type="dxa"/>
            <w:shd w:val="clear" w:color="auto" w:fill="auto"/>
            <w:vAlign w:val="center"/>
          </w:tcPr>
          <w:p w14:paraId="08EFAC15" w14:textId="77777777" w:rsidR="009B7F6D" w:rsidRPr="00C945CD" w:rsidRDefault="009B7F6D" w:rsidP="00704520">
            <w:pPr>
              <w:jc w:val="center"/>
            </w:pPr>
            <w:r>
              <w:t>X</w:t>
            </w:r>
          </w:p>
        </w:tc>
        <w:tc>
          <w:tcPr>
            <w:tcW w:w="1134" w:type="dxa"/>
            <w:shd w:val="clear" w:color="auto" w:fill="auto"/>
            <w:vAlign w:val="center"/>
          </w:tcPr>
          <w:p w14:paraId="6DA965E3" w14:textId="77777777" w:rsidR="009B7F6D" w:rsidRPr="00C945CD" w:rsidRDefault="009B7F6D" w:rsidP="00704520">
            <w:pPr>
              <w:jc w:val="center"/>
            </w:pPr>
          </w:p>
        </w:tc>
      </w:tr>
      <w:tr w:rsidR="009B7F6D" w:rsidRPr="00D62029" w14:paraId="51127E31" w14:textId="77777777" w:rsidTr="00704520">
        <w:tc>
          <w:tcPr>
            <w:tcW w:w="8648" w:type="dxa"/>
            <w:shd w:val="clear" w:color="auto" w:fill="auto"/>
          </w:tcPr>
          <w:p w14:paraId="775EF5BA" w14:textId="77777777" w:rsidR="009B7F6D" w:rsidRPr="00C945CD" w:rsidRDefault="009B7F6D" w:rsidP="00704520">
            <w:pPr>
              <w:pStyle w:val="Default"/>
              <w:rPr>
                <w:rFonts w:ascii="Arial Narrow" w:hAnsi="Arial Narrow"/>
              </w:rPr>
            </w:pPr>
            <w:r w:rsidRPr="00C945CD">
              <w:rPr>
                <w:rFonts w:ascii="Arial Narrow" w:hAnsi="Arial Narrow"/>
              </w:rPr>
              <w:t xml:space="preserve">Ability to manage Contracts and Contractors effectively </w:t>
            </w:r>
          </w:p>
        </w:tc>
        <w:tc>
          <w:tcPr>
            <w:tcW w:w="1275" w:type="dxa"/>
            <w:shd w:val="clear" w:color="auto" w:fill="auto"/>
            <w:vAlign w:val="center"/>
          </w:tcPr>
          <w:p w14:paraId="1105EA4B" w14:textId="77777777" w:rsidR="009B7F6D" w:rsidRPr="00C945CD" w:rsidRDefault="009B7F6D" w:rsidP="00704520">
            <w:pPr>
              <w:jc w:val="center"/>
            </w:pPr>
            <w:r>
              <w:t>X</w:t>
            </w:r>
          </w:p>
        </w:tc>
        <w:tc>
          <w:tcPr>
            <w:tcW w:w="1134" w:type="dxa"/>
            <w:shd w:val="clear" w:color="auto" w:fill="auto"/>
            <w:vAlign w:val="center"/>
          </w:tcPr>
          <w:p w14:paraId="2AF9ED54" w14:textId="77777777" w:rsidR="009B7F6D" w:rsidRPr="00C945CD" w:rsidRDefault="009B7F6D" w:rsidP="00704520">
            <w:pPr>
              <w:jc w:val="center"/>
            </w:pPr>
          </w:p>
        </w:tc>
      </w:tr>
      <w:tr w:rsidR="009B7F6D" w:rsidRPr="00D62029" w14:paraId="4AFCB503" w14:textId="77777777" w:rsidTr="00704520">
        <w:tc>
          <w:tcPr>
            <w:tcW w:w="8648" w:type="dxa"/>
            <w:shd w:val="clear" w:color="auto" w:fill="auto"/>
          </w:tcPr>
          <w:p w14:paraId="4D7FED00" w14:textId="77777777" w:rsidR="009B7F6D" w:rsidRPr="00C945CD" w:rsidRDefault="009B7F6D" w:rsidP="00704520">
            <w:pPr>
              <w:pStyle w:val="Default"/>
              <w:rPr>
                <w:rFonts w:ascii="Arial Narrow" w:hAnsi="Arial Narrow"/>
              </w:rPr>
            </w:pPr>
            <w:r w:rsidRPr="00C945CD">
              <w:rPr>
                <w:rFonts w:ascii="Arial Narrow" w:hAnsi="Arial Narrow"/>
              </w:rPr>
              <w:t xml:space="preserve">Demonstrate professionalism and ability to maintain confidentiality </w:t>
            </w:r>
          </w:p>
        </w:tc>
        <w:tc>
          <w:tcPr>
            <w:tcW w:w="1275" w:type="dxa"/>
            <w:shd w:val="clear" w:color="auto" w:fill="auto"/>
            <w:vAlign w:val="center"/>
          </w:tcPr>
          <w:p w14:paraId="3FB3F29D" w14:textId="77777777" w:rsidR="009B7F6D" w:rsidRPr="00C945CD" w:rsidRDefault="009B7F6D" w:rsidP="00704520">
            <w:pPr>
              <w:jc w:val="center"/>
            </w:pPr>
            <w:r>
              <w:t>X</w:t>
            </w:r>
          </w:p>
        </w:tc>
        <w:tc>
          <w:tcPr>
            <w:tcW w:w="1134" w:type="dxa"/>
            <w:shd w:val="clear" w:color="auto" w:fill="auto"/>
            <w:vAlign w:val="center"/>
          </w:tcPr>
          <w:p w14:paraId="756F542A" w14:textId="77777777" w:rsidR="009B7F6D" w:rsidRPr="00C945CD" w:rsidRDefault="009B7F6D" w:rsidP="00704520">
            <w:pPr>
              <w:jc w:val="center"/>
            </w:pPr>
          </w:p>
        </w:tc>
      </w:tr>
      <w:tr w:rsidR="009B7F6D" w:rsidRPr="00D62029" w14:paraId="2CC1CF2F" w14:textId="77777777" w:rsidTr="00704520">
        <w:tc>
          <w:tcPr>
            <w:tcW w:w="8648" w:type="dxa"/>
            <w:shd w:val="clear" w:color="auto" w:fill="auto"/>
          </w:tcPr>
          <w:p w14:paraId="5BB90157" w14:textId="77777777" w:rsidR="009B7F6D" w:rsidRPr="00C945CD" w:rsidRDefault="009B7F6D" w:rsidP="00704520">
            <w:pPr>
              <w:pStyle w:val="Default"/>
              <w:rPr>
                <w:rFonts w:ascii="Arial Narrow" w:hAnsi="Arial Narrow"/>
              </w:rPr>
            </w:pPr>
            <w:r w:rsidRPr="00C945CD">
              <w:rPr>
                <w:rFonts w:ascii="Arial Narrow" w:hAnsi="Arial Narrow"/>
              </w:rPr>
              <w:t xml:space="preserve">Excellent IT skills and ability to ensure effective use of IT in service delivery and performance </w:t>
            </w:r>
          </w:p>
        </w:tc>
        <w:tc>
          <w:tcPr>
            <w:tcW w:w="1275" w:type="dxa"/>
            <w:shd w:val="clear" w:color="auto" w:fill="auto"/>
            <w:vAlign w:val="center"/>
          </w:tcPr>
          <w:p w14:paraId="63754ADC" w14:textId="77777777" w:rsidR="009B7F6D" w:rsidRPr="00C945CD" w:rsidRDefault="009B7F6D" w:rsidP="00704520">
            <w:pPr>
              <w:jc w:val="center"/>
            </w:pPr>
            <w:r>
              <w:t>X</w:t>
            </w:r>
          </w:p>
        </w:tc>
        <w:tc>
          <w:tcPr>
            <w:tcW w:w="1134" w:type="dxa"/>
            <w:shd w:val="clear" w:color="auto" w:fill="auto"/>
            <w:vAlign w:val="center"/>
          </w:tcPr>
          <w:p w14:paraId="25C5B51D" w14:textId="77777777" w:rsidR="009B7F6D" w:rsidRPr="00C945CD" w:rsidRDefault="009B7F6D" w:rsidP="00704520">
            <w:pPr>
              <w:jc w:val="center"/>
            </w:pPr>
          </w:p>
        </w:tc>
      </w:tr>
      <w:tr w:rsidR="009B7F6D" w:rsidRPr="00D62029" w14:paraId="4E2148D9" w14:textId="77777777" w:rsidTr="00704520">
        <w:tc>
          <w:tcPr>
            <w:tcW w:w="8648" w:type="dxa"/>
            <w:shd w:val="clear" w:color="auto" w:fill="auto"/>
          </w:tcPr>
          <w:p w14:paraId="22361A03" w14:textId="77777777" w:rsidR="009B7F6D" w:rsidRPr="00C945CD" w:rsidRDefault="009B7F6D" w:rsidP="00704520">
            <w:pPr>
              <w:pStyle w:val="Default"/>
              <w:rPr>
                <w:rFonts w:ascii="Arial Narrow" w:hAnsi="Arial Narrow"/>
              </w:rPr>
            </w:pPr>
            <w:r w:rsidRPr="00C945CD">
              <w:rPr>
                <w:rFonts w:ascii="Arial Narrow" w:hAnsi="Arial Narrow"/>
              </w:rPr>
              <w:t xml:space="preserve">Good quality interpersonal, negotiation and communication skills both verbally and in writing including an ability to manage diverse client groups </w:t>
            </w:r>
          </w:p>
        </w:tc>
        <w:tc>
          <w:tcPr>
            <w:tcW w:w="1275" w:type="dxa"/>
            <w:shd w:val="clear" w:color="auto" w:fill="auto"/>
            <w:vAlign w:val="center"/>
          </w:tcPr>
          <w:p w14:paraId="1090BA10" w14:textId="77777777" w:rsidR="009B7F6D" w:rsidRPr="00C945CD" w:rsidRDefault="009B7F6D" w:rsidP="00704520">
            <w:pPr>
              <w:jc w:val="center"/>
            </w:pPr>
            <w:r>
              <w:t>X</w:t>
            </w:r>
          </w:p>
        </w:tc>
        <w:tc>
          <w:tcPr>
            <w:tcW w:w="1134" w:type="dxa"/>
            <w:shd w:val="clear" w:color="auto" w:fill="auto"/>
            <w:vAlign w:val="center"/>
          </w:tcPr>
          <w:p w14:paraId="1B3EAA8B" w14:textId="77777777" w:rsidR="009B7F6D" w:rsidRPr="00C945CD" w:rsidRDefault="009B7F6D" w:rsidP="00704520">
            <w:pPr>
              <w:jc w:val="center"/>
            </w:pPr>
          </w:p>
        </w:tc>
      </w:tr>
      <w:tr w:rsidR="009B7F6D" w:rsidRPr="00D62029" w14:paraId="7E7E0330" w14:textId="77777777" w:rsidTr="00704520">
        <w:tc>
          <w:tcPr>
            <w:tcW w:w="8648" w:type="dxa"/>
            <w:shd w:val="clear" w:color="auto" w:fill="auto"/>
          </w:tcPr>
          <w:p w14:paraId="6DF48911" w14:textId="77777777" w:rsidR="009B7F6D" w:rsidRPr="00C945CD" w:rsidRDefault="009B7F6D" w:rsidP="00704520">
            <w:pPr>
              <w:pStyle w:val="Default"/>
              <w:rPr>
                <w:rFonts w:ascii="Arial Narrow" w:hAnsi="Arial Narrow"/>
              </w:rPr>
            </w:pPr>
            <w:r w:rsidRPr="00C945CD">
              <w:rPr>
                <w:rFonts w:ascii="Arial Narrow" w:hAnsi="Arial Narrow"/>
              </w:rPr>
              <w:t xml:space="preserve">Consistently demonstrate commitment to organisational values, and Staff Code of Conduct </w:t>
            </w:r>
          </w:p>
        </w:tc>
        <w:tc>
          <w:tcPr>
            <w:tcW w:w="1275" w:type="dxa"/>
            <w:shd w:val="clear" w:color="auto" w:fill="auto"/>
            <w:vAlign w:val="center"/>
          </w:tcPr>
          <w:p w14:paraId="593B4204" w14:textId="77777777" w:rsidR="009B7F6D" w:rsidRPr="00C945CD" w:rsidRDefault="009B7F6D" w:rsidP="00704520">
            <w:pPr>
              <w:jc w:val="center"/>
            </w:pPr>
            <w:r>
              <w:t>X</w:t>
            </w:r>
          </w:p>
        </w:tc>
        <w:tc>
          <w:tcPr>
            <w:tcW w:w="1134" w:type="dxa"/>
            <w:shd w:val="clear" w:color="auto" w:fill="auto"/>
            <w:vAlign w:val="center"/>
          </w:tcPr>
          <w:p w14:paraId="51608292" w14:textId="77777777" w:rsidR="009B7F6D" w:rsidRPr="00C945CD" w:rsidRDefault="009B7F6D" w:rsidP="00704520">
            <w:pPr>
              <w:jc w:val="center"/>
            </w:pPr>
          </w:p>
        </w:tc>
      </w:tr>
      <w:tr w:rsidR="009B7F6D" w:rsidRPr="00D62029" w14:paraId="03EBEFBB" w14:textId="77777777" w:rsidTr="00893066">
        <w:trPr>
          <w:trHeight w:val="701"/>
        </w:trPr>
        <w:tc>
          <w:tcPr>
            <w:tcW w:w="11057" w:type="dxa"/>
            <w:gridSpan w:val="3"/>
            <w:shd w:val="clear" w:color="auto" w:fill="F2F2F2" w:themeFill="background1" w:themeFillShade="F2"/>
            <w:vAlign w:val="center"/>
          </w:tcPr>
          <w:p w14:paraId="434D34B6" w14:textId="77777777" w:rsidR="009B7F6D" w:rsidRPr="00C945CD" w:rsidRDefault="009B7F6D" w:rsidP="00704520">
            <w:r w:rsidRPr="00C945CD">
              <w:rPr>
                <w:b/>
                <w:bCs/>
              </w:rPr>
              <w:t xml:space="preserve">Other Requirements </w:t>
            </w:r>
          </w:p>
        </w:tc>
      </w:tr>
      <w:tr w:rsidR="009B7F6D" w:rsidRPr="00D62029" w14:paraId="3D17F717" w14:textId="77777777" w:rsidTr="00704520">
        <w:tc>
          <w:tcPr>
            <w:tcW w:w="8648" w:type="dxa"/>
            <w:shd w:val="clear" w:color="auto" w:fill="auto"/>
          </w:tcPr>
          <w:p w14:paraId="0D588299" w14:textId="77777777" w:rsidR="009B7F6D" w:rsidRPr="00C945CD" w:rsidRDefault="009B7F6D" w:rsidP="00704520">
            <w:pPr>
              <w:pStyle w:val="Default"/>
              <w:rPr>
                <w:rFonts w:ascii="Arial Narrow" w:hAnsi="Arial Narrow"/>
              </w:rPr>
            </w:pPr>
            <w:r w:rsidRPr="00C945CD">
              <w:rPr>
                <w:rFonts w:ascii="Arial Narrow" w:hAnsi="Arial Narrow"/>
              </w:rPr>
              <w:t xml:space="preserve">Committed, flexible and adaptable approach to work requirements </w:t>
            </w:r>
          </w:p>
        </w:tc>
        <w:tc>
          <w:tcPr>
            <w:tcW w:w="1275" w:type="dxa"/>
            <w:shd w:val="clear" w:color="auto" w:fill="auto"/>
            <w:vAlign w:val="center"/>
          </w:tcPr>
          <w:p w14:paraId="1796DAC3" w14:textId="77777777" w:rsidR="009B7F6D" w:rsidRPr="00C945CD" w:rsidRDefault="009B7F6D" w:rsidP="00704520">
            <w:pPr>
              <w:jc w:val="center"/>
            </w:pPr>
            <w:r>
              <w:t>X</w:t>
            </w:r>
          </w:p>
        </w:tc>
        <w:tc>
          <w:tcPr>
            <w:tcW w:w="1134" w:type="dxa"/>
            <w:shd w:val="clear" w:color="auto" w:fill="auto"/>
            <w:vAlign w:val="center"/>
          </w:tcPr>
          <w:p w14:paraId="115320A4" w14:textId="77777777" w:rsidR="009B7F6D" w:rsidRPr="00C945CD" w:rsidRDefault="009B7F6D" w:rsidP="00704520">
            <w:pPr>
              <w:jc w:val="center"/>
            </w:pPr>
          </w:p>
        </w:tc>
      </w:tr>
      <w:tr w:rsidR="009B7F6D" w:rsidRPr="00D62029" w14:paraId="62029C17" w14:textId="77777777" w:rsidTr="00704520">
        <w:tc>
          <w:tcPr>
            <w:tcW w:w="8648" w:type="dxa"/>
            <w:shd w:val="clear" w:color="auto" w:fill="auto"/>
          </w:tcPr>
          <w:p w14:paraId="5B6EFA15" w14:textId="4DC41B2B" w:rsidR="009B7F6D" w:rsidRPr="00C945CD" w:rsidRDefault="009B7F6D" w:rsidP="00704520">
            <w:pPr>
              <w:pStyle w:val="Default"/>
              <w:rPr>
                <w:rFonts w:ascii="Arial Narrow" w:hAnsi="Arial Narrow"/>
              </w:rPr>
            </w:pPr>
            <w:r w:rsidRPr="00C945CD">
              <w:rPr>
                <w:rFonts w:ascii="Arial Narrow" w:hAnsi="Arial Narrow"/>
              </w:rPr>
              <w:t xml:space="preserve">Commitment to ethos of social housing and </w:t>
            </w:r>
            <w:r>
              <w:rPr>
                <w:rFonts w:ascii="Arial Narrow" w:hAnsi="Arial Narrow"/>
              </w:rPr>
              <w:t xml:space="preserve">GWHA </w:t>
            </w:r>
            <w:r w:rsidRPr="00C945CD">
              <w:rPr>
                <w:rFonts w:ascii="Arial Narrow" w:hAnsi="Arial Narrow"/>
              </w:rPr>
              <w:t>values</w:t>
            </w:r>
            <w:r w:rsidR="00B46908">
              <w:rPr>
                <w:rFonts w:ascii="Arial Narrow" w:hAnsi="Arial Narrow"/>
              </w:rPr>
              <w:t xml:space="preserve">. </w:t>
            </w:r>
          </w:p>
        </w:tc>
        <w:tc>
          <w:tcPr>
            <w:tcW w:w="1275" w:type="dxa"/>
            <w:shd w:val="clear" w:color="auto" w:fill="auto"/>
            <w:vAlign w:val="center"/>
          </w:tcPr>
          <w:p w14:paraId="4B7CD178" w14:textId="77777777" w:rsidR="009B7F6D" w:rsidRPr="00C945CD" w:rsidRDefault="009B7F6D" w:rsidP="00704520">
            <w:pPr>
              <w:jc w:val="center"/>
            </w:pPr>
            <w:r>
              <w:t>X</w:t>
            </w:r>
          </w:p>
        </w:tc>
        <w:tc>
          <w:tcPr>
            <w:tcW w:w="1134" w:type="dxa"/>
            <w:shd w:val="clear" w:color="auto" w:fill="auto"/>
            <w:vAlign w:val="center"/>
          </w:tcPr>
          <w:p w14:paraId="0E7CBA45" w14:textId="77777777" w:rsidR="009B7F6D" w:rsidRPr="00C945CD" w:rsidRDefault="009B7F6D" w:rsidP="00704520">
            <w:pPr>
              <w:jc w:val="center"/>
            </w:pPr>
          </w:p>
        </w:tc>
      </w:tr>
      <w:tr w:rsidR="009B7F6D" w:rsidRPr="00D62029" w14:paraId="688CFCF6" w14:textId="77777777" w:rsidTr="00704520">
        <w:tc>
          <w:tcPr>
            <w:tcW w:w="8648" w:type="dxa"/>
            <w:shd w:val="clear" w:color="auto" w:fill="auto"/>
          </w:tcPr>
          <w:p w14:paraId="192B12F2" w14:textId="0B6AED7E" w:rsidR="009B7F6D" w:rsidRPr="00C945CD" w:rsidRDefault="009B7F6D" w:rsidP="00704520">
            <w:pPr>
              <w:pStyle w:val="Default"/>
              <w:rPr>
                <w:rFonts w:ascii="Arial Narrow" w:hAnsi="Arial Narrow"/>
              </w:rPr>
            </w:pPr>
            <w:r w:rsidRPr="00C945CD">
              <w:rPr>
                <w:rFonts w:ascii="Arial Narrow" w:hAnsi="Arial Narrow"/>
              </w:rPr>
              <w:t xml:space="preserve">Prepared to attend meetings, emergencies and training out with office hours </w:t>
            </w:r>
            <w:r w:rsidR="00B46908">
              <w:rPr>
                <w:rFonts w:ascii="Arial Narrow" w:hAnsi="Arial Narrow"/>
              </w:rPr>
              <w:t>if required.</w:t>
            </w:r>
          </w:p>
        </w:tc>
        <w:tc>
          <w:tcPr>
            <w:tcW w:w="1275" w:type="dxa"/>
            <w:shd w:val="clear" w:color="auto" w:fill="auto"/>
            <w:vAlign w:val="center"/>
          </w:tcPr>
          <w:p w14:paraId="248299AB" w14:textId="77777777" w:rsidR="009B7F6D" w:rsidRPr="00C945CD" w:rsidRDefault="009B7F6D" w:rsidP="00704520">
            <w:pPr>
              <w:jc w:val="center"/>
            </w:pPr>
            <w:r>
              <w:t>X</w:t>
            </w:r>
          </w:p>
        </w:tc>
        <w:tc>
          <w:tcPr>
            <w:tcW w:w="1134" w:type="dxa"/>
            <w:shd w:val="clear" w:color="auto" w:fill="auto"/>
            <w:vAlign w:val="center"/>
          </w:tcPr>
          <w:p w14:paraId="414E0119" w14:textId="77777777" w:rsidR="009B7F6D" w:rsidRPr="00C945CD" w:rsidRDefault="009B7F6D" w:rsidP="00704520">
            <w:pPr>
              <w:jc w:val="center"/>
            </w:pPr>
          </w:p>
        </w:tc>
      </w:tr>
    </w:tbl>
    <w:p w14:paraId="455E99D3" w14:textId="77777777" w:rsidR="006F3A78" w:rsidRPr="003F388E" w:rsidRDefault="006F3A78" w:rsidP="00B62F45"/>
    <w:sectPr w:rsidR="006F3A78" w:rsidRPr="003F388E" w:rsidSect="00B62F45">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44BF7"/>
    <w:multiLevelType w:val="hybridMultilevel"/>
    <w:tmpl w:val="61D81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FA337D"/>
    <w:multiLevelType w:val="hybridMultilevel"/>
    <w:tmpl w:val="15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C02864"/>
    <w:multiLevelType w:val="hybridMultilevel"/>
    <w:tmpl w:val="9F808ABC"/>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C044DC"/>
    <w:multiLevelType w:val="hybridMultilevel"/>
    <w:tmpl w:val="51EC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1542928">
    <w:abstractNumId w:val="0"/>
  </w:num>
  <w:num w:numId="2" w16cid:durableId="901402829">
    <w:abstractNumId w:val="2"/>
  </w:num>
  <w:num w:numId="3" w16cid:durableId="835416666">
    <w:abstractNumId w:val="3"/>
  </w:num>
  <w:num w:numId="4" w16cid:durableId="783696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A2"/>
    <w:rsid w:val="0002177A"/>
    <w:rsid w:val="00023991"/>
    <w:rsid w:val="00052E7C"/>
    <w:rsid w:val="00060324"/>
    <w:rsid w:val="00070CBF"/>
    <w:rsid w:val="00086557"/>
    <w:rsid w:val="00091396"/>
    <w:rsid w:val="000B2070"/>
    <w:rsid w:val="000C50A0"/>
    <w:rsid w:val="000C78B2"/>
    <w:rsid w:val="000D6F26"/>
    <w:rsid w:val="000F6E4D"/>
    <w:rsid w:val="00102238"/>
    <w:rsid w:val="00107B26"/>
    <w:rsid w:val="00143779"/>
    <w:rsid w:val="0017050D"/>
    <w:rsid w:val="0019436C"/>
    <w:rsid w:val="00224966"/>
    <w:rsid w:val="00246952"/>
    <w:rsid w:val="00296758"/>
    <w:rsid w:val="002E7072"/>
    <w:rsid w:val="00304F52"/>
    <w:rsid w:val="003C39DF"/>
    <w:rsid w:val="003F388E"/>
    <w:rsid w:val="00423520"/>
    <w:rsid w:val="004B0563"/>
    <w:rsid w:val="004D0C11"/>
    <w:rsid w:val="004E18E5"/>
    <w:rsid w:val="00502133"/>
    <w:rsid w:val="005077B9"/>
    <w:rsid w:val="005652B8"/>
    <w:rsid w:val="00567CD2"/>
    <w:rsid w:val="00595B1D"/>
    <w:rsid w:val="005A77D8"/>
    <w:rsid w:val="005B7B23"/>
    <w:rsid w:val="005C129D"/>
    <w:rsid w:val="005D429B"/>
    <w:rsid w:val="005E2398"/>
    <w:rsid w:val="00603129"/>
    <w:rsid w:val="00603EFC"/>
    <w:rsid w:val="00605EA2"/>
    <w:rsid w:val="0063151D"/>
    <w:rsid w:val="00656C37"/>
    <w:rsid w:val="006A029E"/>
    <w:rsid w:val="006B5E49"/>
    <w:rsid w:val="006D5FA0"/>
    <w:rsid w:val="006E4AF8"/>
    <w:rsid w:val="006F3A78"/>
    <w:rsid w:val="0070477A"/>
    <w:rsid w:val="00734D57"/>
    <w:rsid w:val="00735AB9"/>
    <w:rsid w:val="00760D65"/>
    <w:rsid w:val="007B2CAE"/>
    <w:rsid w:val="007B7A41"/>
    <w:rsid w:val="007F2FC4"/>
    <w:rsid w:val="00823B7E"/>
    <w:rsid w:val="008322C9"/>
    <w:rsid w:val="00832C32"/>
    <w:rsid w:val="008579D2"/>
    <w:rsid w:val="00862512"/>
    <w:rsid w:val="00875F21"/>
    <w:rsid w:val="0088627A"/>
    <w:rsid w:val="00893066"/>
    <w:rsid w:val="00936FAE"/>
    <w:rsid w:val="009B7F6D"/>
    <w:rsid w:val="00A27ED9"/>
    <w:rsid w:val="00A5047D"/>
    <w:rsid w:val="00A5456D"/>
    <w:rsid w:val="00A878C4"/>
    <w:rsid w:val="00A94F09"/>
    <w:rsid w:val="00A974BE"/>
    <w:rsid w:val="00AB0E39"/>
    <w:rsid w:val="00AB2CC7"/>
    <w:rsid w:val="00AD4163"/>
    <w:rsid w:val="00B05BC6"/>
    <w:rsid w:val="00B46908"/>
    <w:rsid w:val="00B62F45"/>
    <w:rsid w:val="00BA1466"/>
    <w:rsid w:val="00BC5D87"/>
    <w:rsid w:val="00BC7D6C"/>
    <w:rsid w:val="00BD19A2"/>
    <w:rsid w:val="00BD6FC8"/>
    <w:rsid w:val="00BE7C2F"/>
    <w:rsid w:val="00BE7FC0"/>
    <w:rsid w:val="00C12F6C"/>
    <w:rsid w:val="00C33514"/>
    <w:rsid w:val="00C87375"/>
    <w:rsid w:val="00CE5DE5"/>
    <w:rsid w:val="00D324D4"/>
    <w:rsid w:val="00D60EDE"/>
    <w:rsid w:val="00DB467E"/>
    <w:rsid w:val="00DD256E"/>
    <w:rsid w:val="00DD361C"/>
    <w:rsid w:val="00DE2FED"/>
    <w:rsid w:val="00E01B9B"/>
    <w:rsid w:val="00E12DEA"/>
    <w:rsid w:val="00E16FD4"/>
    <w:rsid w:val="00E171A8"/>
    <w:rsid w:val="00E23EF5"/>
    <w:rsid w:val="00E26E57"/>
    <w:rsid w:val="00E346E5"/>
    <w:rsid w:val="00E3578B"/>
    <w:rsid w:val="00E81DDE"/>
    <w:rsid w:val="00E85080"/>
    <w:rsid w:val="00EB76CB"/>
    <w:rsid w:val="00EB7E19"/>
    <w:rsid w:val="00ED1006"/>
    <w:rsid w:val="00EF6E68"/>
    <w:rsid w:val="00F00CA6"/>
    <w:rsid w:val="00F40402"/>
    <w:rsid w:val="00F51534"/>
    <w:rsid w:val="00F542B3"/>
    <w:rsid w:val="00F5582F"/>
    <w:rsid w:val="00F978D0"/>
    <w:rsid w:val="00FB62DD"/>
    <w:rsid w:val="00FD1439"/>
    <w:rsid w:val="00FF0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C185"/>
  <w15:docId w15:val="{7D3F9112-FF8E-4FAC-9E78-1B3DE01F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9A2"/>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qFormat/>
    <w:rsid w:val="00BD19A2"/>
    <w:pPr>
      <w:keepNext/>
      <w:ind w:left="37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9A2"/>
    <w:rPr>
      <w:rFonts w:ascii="Arial Narrow" w:eastAsia="Times New Roman" w:hAnsi="Arial Narrow" w:cs="Times New Roman"/>
      <w:b/>
      <w:bCs/>
      <w:sz w:val="24"/>
      <w:szCs w:val="24"/>
    </w:rPr>
  </w:style>
  <w:style w:type="paragraph" w:styleId="Header">
    <w:name w:val="header"/>
    <w:basedOn w:val="Normal"/>
    <w:link w:val="HeaderChar"/>
    <w:semiHidden/>
    <w:unhideWhenUsed/>
    <w:rsid w:val="00BD19A2"/>
    <w:pPr>
      <w:tabs>
        <w:tab w:val="center" w:pos="4320"/>
        <w:tab w:val="right" w:pos="8640"/>
      </w:tabs>
    </w:pPr>
  </w:style>
  <w:style w:type="character" w:customStyle="1" w:styleId="HeaderChar">
    <w:name w:val="Header Char"/>
    <w:basedOn w:val="DefaultParagraphFont"/>
    <w:link w:val="Header"/>
    <w:semiHidden/>
    <w:rsid w:val="00BD19A2"/>
    <w:rPr>
      <w:rFonts w:ascii="Arial Narrow" w:eastAsia="Times New Roman" w:hAnsi="Arial Narrow" w:cs="Times New Roman"/>
      <w:sz w:val="24"/>
      <w:szCs w:val="24"/>
    </w:rPr>
  </w:style>
  <w:style w:type="paragraph" w:styleId="ListParagraph">
    <w:name w:val="List Paragraph"/>
    <w:basedOn w:val="Normal"/>
    <w:uiPriority w:val="34"/>
    <w:qFormat/>
    <w:rsid w:val="00FD1439"/>
    <w:pPr>
      <w:ind w:left="720"/>
      <w:contextualSpacing/>
    </w:pPr>
  </w:style>
  <w:style w:type="paragraph" w:styleId="BalloonText">
    <w:name w:val="Balloon Text"/>
    <w:basedOn w:val="Normal"/>
    <w:link w:val="BalloonTextChar"/>
    <w:uiPriority w:val="99"/>
    <w:semiHidden/>
    <w:unhideWhenUsed/>
    <w:rsid w:val="000B2070"/>
    <w:rPr>
      <w:rFonts w:ascii="Tahoma" w:hAnsi="Tahoma" w:cs="Tahoma"/>
      <w:sz w:val="16"/>
      <w:szCs w:val="16"/>
    </w:rPr>
  </w:style>
  <w:style w:type="character" w:customStyle="1" w:styleId="BalloonTextChar">
    <w:name w:val="Balloon Text Char"/>
    <w:basedOn w:val="DefaultParagraphFont"/>
    <w:link w:val="BalloonText"/>
    <w:uiPriority w:val="99"/>
    <w:semiHidden/>
    <w:rsid w:val="000B20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42B3"/>
    <w:rPr>
      <w:sz w:val="16"/>
      <w:szCs w:val="16"/>
    </w:rPr>
  </w:style>
  <w:style w:type="paragraph" w:styleId="CommentText">
    <w:name w:val="annotation text"/>
    <w:basedOn w:val="Normal"/>
    <w:link w:val="CommentTextChar"/>
    <w:uiPriority w:val="99"/>
    <w:semiHidden/>
    <w:unhideWhenUsed/>
    <w:rsid w:val="00F542B3"/>
    <w:rPr>
      <w:sz w:val="20"/>
      <w:szCs w:val="20"/>
    </w:rPr>
  </w:style>
  <w:style w:type="character" w:customStyle="1" w:styleId="CommentTextChar">
    <w:name w:val="Comment Text Char"/>
    <w:basedOn w:val="DefaultParagraphFont"/>
    <w:link w:val="CommentText"/>
    <w:uiPriority w:val="99"/>
    <w:semiHidden/>
    <w:rsid w:val="00F542B3"/>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F542B3"/>
    <w:rPr>
      <w:b/>
      <w:bCs/>
    </w:rPr>
  </w:style>
  <w:style w:type="character" w:customStyle="1" w:styleId="CommentSubjectChar">
    <w:name w:val="Comment Subject Char"/>
    <w:basedOn w:val="CommentTextChar"/>
    <w:link w:val="CommentSubject"/>
    <w:uiPriority w:val="99"/>
    <w:semiHidden/>
    <w:rsid w:val="00F542B3"/>
    <w:rPr>
      <w:rFonts w:ascii="Arial Narrow" w:eastAsia="Times New Roman" w:hAnsi="Arial Narrow" w:cs="Times New Roman"/>
      <w:b/>
      <w:bCs/>
      <w:sz w:val="20"/>
      <w:szCs w:val="20"/>
    </w:rPr>
  </w:style>
  <w:style w:type="paragraph" w:styleId="NoSpacing">
    <w:name w:val="No Spacing"/>
    <w:uiPriority w:val="1"/>
    <w:qFormat/>
    <w:rsid w:val="0063151D"/>
    <w:pPr>
      <w:spacing w:after="0" w:line="240" w:lineRule="auto"/>
    </w:pPr>
    <w:rPr>
      <w:rFonts w:ascii="Arial Narrow" w:eastAsia="Times New Roman" w:hAnsi="Arial Narrow" w:cs="Times New Roman"/>
      <w:sz w:val="24"/>
      <w:szCs w:val="24"/>
    </w:rPr>
  </w:style>
  <w:style w:type="paragraph" w:styleId="Revision">
    <w:name w:val="Revision"/>
    <w:hidden/>
    <w:uiPriority w:val="99"/>
    <w:semiHidden/>
    <w:rsid w:val="00DB467E"/>
    <w:pPr>
      <w:spacing w:after="0" w:line="240" w:lineRule="auto"/>
    </w:pPr>
    <w:rPr>
      <w:rFonts w:ascii="Arial Narrow" w:eastAsia="Times New Roman" w:hAnsi="Arial Narrow" w:cs="Times New Roman"/>
      <w:sz w:val="24"/>
      <w:szCs w:val="24"/>
    </w:rPr>
  </w:style>
  <w:style w:type="table" w:styleId="TableGrid">
    <w:name w:val="Table Grid"/>
    <w:basedOn w:val="TableNormal"/>
    <w:uiPriority w:val="59"/>
    <w:rsid w:val="009B7F6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F6D"/>
    <w:pPr>
      <w:autoSpaceDE w:val="0"/>
      <w:autoSpaceDN w:val="0"/>
      <w:adjustRightInd w:val="0"/>
      <w:spacing w:after="0" w:line="240" w:lineRule="auto"/>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59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Glasgow West HA</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Nicole Fairley</cp:lastModifiedBy>
  <cp:revision>2</cp:revision>
  <cp:lastPrinted>2017-09-14T13:23:00Z</cp:lastPrinted>
  <dcterms:created xsi:type="dcterms:W3CDTF">2024-07-03T13:34:00Z</dcterms:created>
  <dcterms:modified xsi:type="dcterms:W3CDTF">2024-07-03T13:34:00Z</dcterms:modified>
</cp:coreProperties>
</file>